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19CBFE"/>
    <w:p w14:paraId="4461E613">
      <w:pPr>
        <w:spacing w:line="540" w:lineRule="exact"/>
        <w:jc w:val="center"/>
        <w:rPr>
          <w:rFonts w:eastAsia="华文中宋"/>
          <w:b/>
          <w:kern w:val="0"/>
          <w:sz w:val="52"/>
          <w:szCs w:val="52"/>
        </w:rPr>
      </w:pPr>
    </w:p>
    <w:p w14:paraId="5787B6A2">
      <w:pPr>
        <w:spacing w:line="540" w:lineRule="exact"/>
        <w:rPr>
          <w:rFonts w:eastAsia="华文中宋"/>
          <w:b/>
          <w:kern w:val="0"/>
          <w:sz w:val="52"/>
          <w:szCs w:val="52"/>
        </w:rPr>
      </w:pPr>
    </w:p>
    <w:p w14:paraId="323D8BA9">
      <w:pPr>
        <w:spacing w:line="540" w:lineRule="exact"/>
        <w:jc w:val="center"/>
        <w:rPr>
          <w:rFonts w:eastAsia="华文中宋"/>
          <w:b/>
          <w:kern w:val="0"/>
          <w:sz w:val="52"/>
          <w:szCs w:val="52"/>
        </w:rPr>
      </w:pPr>
    </w:p>
    <w:p w14:paraId="477A0E2E">
      <w:pPr>
        <w:spacing w:line="540" w:lineRule="exact"/>
        <w:jc w:val="center"/>
        <w:rPr>
          <w:rFonts w:hint="eastAsia" w:ascii="方正小标宋_GBK" w:hAnsi="方正小标宋_GBK" w:eastAsia="方正小标宋_GBK" w:cs="方正小标宋_GBK"/>
          <w:kern w:val="0"/>
          <w:sz w:val="48"/>
          <w:szCs w:val="48"/>
        </w:rPr>
      </w:pPr>
      <w:r>
        <w:rPr>
          <w:rFonts w:hint="eastAsia" w:ascii="方正小标宋_GBK" w:hAnsi="方正小标宋_GBK" w:eastAsia="方正小标宋_GBK" w:cs="方正小标宋_GBK"/>
          <w:kern w:val="0"/>
          <w:sz w:val="48"/>
          <w:szCs w:val="48"/>
        </w:rPr>
        <w:t>学前免费教育经费项目支出</w:t>
      </w:r>
    </w:p>
    <w:p w14:paraId="2C0FED08">
      <w:pPr>
        <w:spacing w:line="540" w:lineRule="exact"/>
        <w:jc w:val="center"/>
        <w:rPr>
          <w:rFonts w:hint="eastAsia" w:ascii="方正小标宋_GBK" w:hAnsi="方正小标宋_GBK" w:eastAsia="方正小标宋_GBK" w:cs="方正小标宋_GBK"/>
          <w:kern w:val="0"/>
          <w:sz w:val="48"/>
          <w:szCs w:val="48"/>
        </w:rPr>
      </w:pPr>
      <w:r>
        <w:rPr>
          <w:rFonts w:hint="eastAsia" w:ascii="方正小标宋_GBK" w:hAnsi="方正小标宋_GBK" w:eastAsia="方正小标宋_GBK" w:cs="方正小标宋_GBK"/>
          <w:kern w:val="0"/>
          <w:sz w:val="48"/>
          <w:szCs w:val="48"/>
        </w:rPr>
        <w:t>绩效评价报告</w:t>
      </w:r>
    </w:p>
    <w:p w14:paraId="567855AD">
      <w:pPr>
        <w:spacing w:line="540" w:lineRule="exact"/>
        <w:jc w:val="center"/>
        <w:rPr>
          <w:rFonts w:eastAsia="华文中宋"/>
          <w:b/>
          <w:kern w:val="0"/>
          <w:sz w:val="52"/>
          <w:szCs w:val="52"/>
        </w:rPr>
      </w:pPr>
    </w:p>
    <w:p w14:paraId="72018B3C">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lang w:val="en-US" w:eastAsia="zh-CN"/>
        </w:rPr>
        <w:t>4</w:t>
      </w:r>
      <w:r>
        <w:rPr>
          <w:rFonts w:eastAsia="仿宋_GB2312"/>
          <w:kern w:val="0"/>
          <w:sz w:val="36"/>
          <w:szCs w:val="36"/>
        </w:rPr>
        <w:t>年度）</w:t>
      </w:r>
    </w:p>
    <w:p w14:paraId="0182D6B5">
      <w:pPr>
        <w:spacing w:line="540" w:lineRule="exact"/>
        <w:jc w:val="center"/>
        <w:rPr>
          <w:rFonts w:eastAsia="仿宋_GB2312"/>
          <w:kern w:val="0"/>
          <w:sz w:val="30"/>
          <w:szCs w:val="30"/>
        </w:rPr>
      </w:pPr>
    </w:p>
    <w:p w14:paraId="265A5EE4">
      <w:pPr>
        <w:spacing w:line="540" w:lineRule="exact"/>
        <w:jc w:val="center"/>
        <w:rPr>
          <w:rFonts w:eastAsia="仿宋_GB2312"/>
          <w:kern w:val="0"/>
          <w:sz w:val="30"/>
          <w:szCs w:val="30"/>
        </w:rPr>
      </w:pPr>
    </w:p>
    <w:p w14:paraId="52C23714">
      <w:pPr>
        <w:spacing w:line="540" w:lineRule="exact"/>
        <w:jc w:val="center"/>
        <w:rPr>
          <w:rFonts w:eastAsia="仿宋_GB2312"/>
          <w:kern w:val="0"/>
          <w:sz w:val="30"/>
          <w:szCs w:val="30"/>
        </w:rPr>
      </w:pPr>
    </w:p>
    <w:p w14:paraId="4168FBA8">
      <w:pPr>
        <w:pStyle w:val="8"/>
      </w:pPr>
    </w:p>
    <w:p w14:paraId="14ED44F9">
      <w:pPr>
        <w:spacing w:line="540" w:lineRule="exact"/>
        <w:jc w:val="center"/>
        <w:rPr>
          <w:rFonts w:eastAsia="仿宋_GB2312"/>
          <w:kern w:val="0"/>
          <w:sz w:val="30"/>
          <w:szCs w:val="30"/>
        </w:rPr>
      </w:pPr>
    </w:p>
    <w:p w14:paraId="50A5DFB6">
      <w:pPr>
        <w:spacing w:line="540" w:lineRule="exact"/>
        <w:rPr>
          <w:rFonts w:eastAsia="仿宋_GB2312"/>
          <w:kern w:val="0"/>
          <w:sz w:val="30"/>
          <w:szCs w:val="30"/>
        </w:rPr>
      </w:pPr>
    </w:p>
    <w:p w14:paraId="03F4C7A9">
      <w:pPr>
        <w:pStyle w:val="8"/>
        <w:rPr>
          <w:rFonts w:eastAsia="仿宋_GB2312"/>
          <w:kern w:val="0"/>
          <w:sz w:val="30"/>
          <w:szCs w:val="30"/>
        </w:rPr>
      </w:pPr>
    </w:p>
    <w:p w14:paraId="6BDD0194"/>
    <w:p w14:paraId="4FF1B282"/>
    <w:p w14:paraId="1A4B2E87">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eastAsia" w:eastAsia="仿宋_GB2312"/>
          <w:kern w:val="0"/>
          <w:sz w:val="36"/>
          <w:szCs w:val="36"/>
          <w:lang w:val="en-US" w:eastAsia="zh-CN"/>
        </w:rPr>
      </w:pPr>
      <w:r>
        <w:rPr>
          <w:rFonts w:eastAsia="仿宋_GB2312"/>
          <w:kern w:val="0"/>
          <w:sz w:val="36"/>
          <w:szCs w:val="36"/>
        </w:rPr>
        <w:t>项目名称：</w:t>
      </w:r>
      <w:r>
        <w:rPr>
          <w:rFonts w:hint="eastAsia" w:eastAsia="仿宋_GB2312"/>
          <w:kern w:val="0"/>
          <w:sz w:val="36"/>
          <w:szCs w:val="36"/>
          <w:lang w:val="en-US" w:eastAsia="zh-CN"/>
        </w:rPr>
        <w:t>学前免费教育经费</w:t>
      </w:r>
    </w:p>
    <w:p w14:paraId="0B9D79BE">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eastAsia="仿宋_GB2312"/>
          <w:kern w:val="0"/>
          <w:sz w:val="36"/>
          <w:szCs w:val="36"/>
          <w:lang w:val="en-US" w:eastAsia="zh-CN"/>
        </w:rPr>
      </w:pPr>
      <w:r>
        <w:rPr>
          <w:rFonts w:eastAsia="仿宋_GB2312"/>
          <w:kern w:val="0"/>
          <w:sz w:val="36"/>
          <w:szCs w:val="36"/>
        </w:rPr>
        <w:t>实施单位（公章）：</w:t>
      </w:r>
      <w:r>
        <w:rPr>
          <w:rFonts w:hint="eastAsia" w:eastAsia="仿宋_GB2312"/>
          <w:kern w:val="0"/>
          <w:sz w:val="36"/>
          <w:szCs w:val="36"/>
          <w:lang w:val="en-US" w:eastAsia="zh-CN"/>
        </w:rPr>
        <w:t>乌鲁木齐市第十二幼儿园</w:t>
      </w:r>
    </w:p>
    <w:p w14:paraId="529F2114">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eastAsia="仿宋_GB2312"/>
          <w:kern w:val="0"/>
          <w:sz w:val="36"/>
          <w:szCs w:val="36"/>
          <w:lang w:val="en-US" w:eastAsia="zh-CN"/>
        </w:rPr>
      </w:pPr>
      <w:r>
        <w:rPr>
          <w:rFonts w:eastAsia="仿宋_GB2312"/>
          <w:kern w:val="0"/>
          <w:sz w:val="36"/>
          <w:szCs w:val="36"/>
        </w:rPr>
        <w:t>实施单位（公章）</w:t>
      </w:r>
      <w:r>
        <w:rPr>
          <w:rFonts w:hint="eastAsia" w:eastAsia="仿宋_GB2312"/>
          <w:kern w:val="0"/>
          <w:sz w:val="36"/>
          <w:szCs w:val="36"/>
          <w:lang w:eastAsia="zh-CN"/>
        </w:rPr>
        <w:t>：</w:t>
      </w:r>
      <w:r>
        <w:rPr>
          <w:rFonts w:hint="eastAsia" w:eastAsia="仿宋_GB2312"/>
          <w:kern w:val="0"/>
          <w:sz w:val="36"/>
          <w:szCs w:val="36"/>
          <w:lang w:val="en-US" w:eastAsia="zh-CN"/>
        </w:rPr>
        <w:t>水磨沟区教育局</w:t>
      </w:r>
    </w:p>
    <w:p w14:paraId="356CFA92">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val="en-US" w:eastAsia="zh-CN"/>
        </w:rPr>
        <w:t>张红</w:t>
      </w:r>
    </w:p>
    <w:p w14:paraId="5726F4DF">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2025</w:t>
      </w:r>
      <w:r>
        <w:rPr>
          <w:rFonts w:eastAsia="仿宋_GB2312"/>
          <w:kern w:val="0"/>
          <w:sz w:val="36"/>
          <w:szCs w:val="36"/>
        </w:rPr>
        <w:t>年</w:t>
      </w:r>
      <w:r>
        <w:rPr>
          <w:rFonts w:hint="eastAsia" w:eastAsia="仿宋_GB2312"/>
          <w:kern w:val="0"/>
          <w:sz w:val="36"/>
          <w:szCs w:val="36"/>
          <w:lang w:val="en-US" w:eastAsia="zh-CN"/>
        </w:rPr>
        <w:t>4</w:t>
      </w:r>
      <w:r>
        <w:rPr>
          <w:rFonts w:eastAsia="仿宋_GB2312"/>
          <w:kern w:val="0"/>
          <w:sz w:val="36"/>
          <w:szCs w:val="36"/>
        </w:rPr>
        <w:t>月</w:t>
      </w:r>
      <w:r>
        <w:rPr>
          <w:rFonts w:hint="eastAsia" w:eastAsia="仿宋_GB2312"/>
          <w:kern w:val="0"/>
          <w:sz w:val="36"/>
          <w:szCs w:val="36"/>
          <w:lang w:val="en-US" w:eastAsia="zh-CN"/>
        </w:rPr>
        <w:t>1</w:t>
      </w:r>
      <w:r>
        <w:rPr>
          <w:rFonts w:eastAsia="仿宋_GB2312"/>
          <w:kern w:val="0"/>
          <w:sz w:val="36"/>
          <w:szCs w:val="36"/>
        </w:rPr>
        <w:t>日</w:t>
      </w:r>
    </w:p>
    <w:p w14:paraId="6DE458F7">
      <w:pPr>
        <w:spacing w:line="540" w:lineRule="exact"/>
        <w:rPr>
          <w:rStyle w:val="14"/>
          <w:rFonts w:eastAsia="黑体"/>
          <w:b w:val="0"/>
          <w:spacing w:val="-4"/>
          <w:sz w:val="32"/>
          <w:szCs w:val="32"/>
        </w:rPr>
        <w:sectPr>
          <w:pgSz w:w="11906" w:h="16838"/>
          <w:pgMar w:top="1440" w:right="1558" w:bottom="1440" w:left="1800" w:header="851" w:footer="992" w:gutter="0"/>
          <w:cols w:space="425" w:num="1"/>
          <w:docGrid w:type="lines" w:linePitch="312" w:charSpace="0"/>
        </w:sectPr>
      </w:pPr>
    </w:p>
    <w:p w14:paraId="3490AC80">
      <w:pPr>
        <w:spacing w:line="560" w:lineRule="exact"/>
        <w:ind w:firstLine="640" w:firstLineChars="200"/>
        <w:rPr>
          <w:rFonts w:eastAsia="黑体"/>
          <w:bCs/>
          <w:sz w:val="32"/>
          <w:szCs w:val="32"/>
        </w:rPr>
      </w:pPr>
      <w:r>
        <w:rPr>
          <w:rFonts w:eastAsia="黑体"/>
          <w:bCs/>
          <w:sz w:val="32"/>
          <w:szCs w:val="32"/>
        </w:rPr>
        <w:t>一、基本情况</w:t>
      </w:r>
    </w:p>
    <w:p w14:paraId="234CAD69">
      <w:pPr>
        <w:spacing w:line="560" w:lineRule="exact"/>
        <w:ind w:firstLine="643" w:firstLineChars="200"/>
        <w:rPr>
          <w:rFonts w:eastAsia="楷体_GB2312"/>
          <w:b/>
          <w:bCs/>
          <w:sz w:val="32"/>
          <w:szCs w:val="32"/>
        </w:rPr>
      </w:pPr>
      <w:r>
        <w:rPr>
          <w:rFonts w:eastAsia="楷体_GB2312"/>
          <w:b/>
          <w:bCs/>
          <w:sz w:val="32"/>
          <w:szCs w:val="32"/>
        </w:rPr>
        <w:t>（一）项目概况</w:t>
      </w:r>
    </w:p>
    <w:p w14:paraId="3B5F195F">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项目背景</w:t>
      </w:r>
    </w:p>
    <w:p w14:paraId="04C8A44F">
      <w:pPr>
        <w:spacing w:line="560" w:lineRule="exact"/>
        <w:ind w:firstLine="600" w:firstLineChars="200"/>
        <w:rPr>
          <w:rFonts w:hint="eastAsia" w:eastAsia="仿宋_GB2312"/>
          <w:sz w:val="32"/>
          <w:szCs w:val="32"/>
        </w:rPr>
      </w:pPr>
      <w:r>
        <w:rPr>
          <w:rFonts w:hint="eastAsia" w:ascii="仿宋_GB2312" w:hAnsi="仿宋_GB2312" w:eastAsia="仿宋_GB2312" w:cs="仿宋_GB2312"/>
          <w:sz w:val="30"/>
          <w:szCs w:val="30"/>
        </w:rPr>
        <w:t xml:space="preserve"> </w:t>
      </w:r>
      <w:r>
        <w:rPr>
          <w:rFonts w:hint="eastAsia" w:eastAsia="仿宋_GB2312"/>
          <w:sz w:val="32"/>
          <w:szCs w:val="32"/>
        </w:rPr>
        <w:t>根据《印发关于加快推进乌鲁木齐市学前教育健康规范发展的实施方案的通知》</w:t>
      </w:r>
      <w:r>
        <w:rPr>
          <w:rFonts w:hint="eastAsia" w:ascii="仿宋_GB2312" w:hAnsi="仿宋_GB2312" w:eastAsia="仿宋_GB2312" w:cs="仿宋_GB2312"/>
          <w:sz w:val="32"/>
          <w:szCs w:val="32"/>
        </w:rPr>
        <w:t>〔</w:t>
      </w:r>
      <w:r>
        <w:rPr>
          <w:rFonts w:hint="eastAsia" w:eastAsia="仿宋_GB2312"/>
          <w:sz w:val="32"/>
          <w:szCs w:val="32"/>
        </w:rPr>
        <w:t>2020</w:t>
      </w:r>
      <w:r>
        <w:rPr>
          <w:rFonts w:hint="eastAsia" w:ascii="仿宋_GB2312" w:hAnsi="仿宋_GB2312" w:eastAsia="仿宋_GB2312" w:cs="仿宋_GB2312"/>
          <w:sz w:val="32"/>
          <w:szCs w:val="32"/>
        </w:rPr>
        <w:t>〕</w:t>
      </w:r>
      <w:r>
        <w:rPr>
          <w:rFonts w:hint="eastAsia" w:eastAsia="仿宋_GB2312"/>
          <w:sz w:val="32"/>
          <w:szCs w:val="32"/>
        </w:rPr>
        <w:t>62号</w:t>
      </w:r>
      <w:r>
        <w:rPr>
          <w:rFonts w:hint="eastAsia" w:eastAsia="仿宋_GB2312"/>
          <w:sz w:val="32"/>
          <w:szCs w:val="32"/>
          <w:lang w:eastAsia="zh-CN"/>
        </w:rPr>
        <w:t>，</w:t>
      </w:r>
      <w:r>
        <w:rPr>
          <w:rFonts w:hint="eastAsia" w:eastAsia="仿宋_GB2312"/>
          <w:sz w:val="32"/>
          <w:szCs w:val="32"/>
        </w:rPr>
        <w:t>为进一步完善学前教育公共服务体系</w:t>
      </w:r>
      <w:r>
        <w:rPr>
          <w:rFonts w:hint="eastAsia" w:eastAsia="仿宋_GB2312"/>
          <w:sz w:val="32"/>
          <w:szCs w:val="32"/>
          <w:lang w:eastAsia="zh-CN"/>
        </w:rPr>
        <w:t>，</w:t>
      </w:r>
      <w:r>
        <w:rPr>
          <w:rFonts w:hint="eastAsia" w:eastAsia="仿宋_GB2312"/>
          <w:sz w:val="32"/>
          <w:szCs w:val="32"/>
        </w:rPr>
        <w:t>切实办好新时代学前教育</w:t>
      </w:r>
      <w:r>
        <w:rPr>
          <w:rFonts w:hint="eastAsia" w:eastAsia="仿宋_GB2312"/>
          <w:sz w:val="32"/>
          <w:szCs w:val="32"/>
          <w:lang w:eastAsia="zh-CN"/>
        </w:rPr>
        <w:t>，</w:t>
      </w:r>
      <w:r>
        <w:rPr>
          <w:rFonts w:hint="eastAsia" w:eastAsia="仿宋_GB2312"/>
          <w:sz w:val="32"/>
          <w:szCs w:val="32"/>
        </w:rPr>
        <w:t>更好实现幼有所育，对普惠性幼儿园在园实施学前三年补助。</w:t>
      </w:r>
    </w:p>
    <w:p w14:paraId="1BF8CFA0">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项目主要内容</w:t>
      </w:r>
      <w:r>
        <w:rPr>
          <w:rFonts w:hint="eastAsia" w:ascii="仿宋_GB2312" w:hAnsi="仿宋_GB2312" w:eastAsia="仿宋_GB2312" w:cs="仿宋_GB2312"/>
          <w:b/>
          <w:bCs/>
          <w:sz w:val="32"/>
          <w:szCs w:val="32"/>
          <w:lang w:val="en-US" w:eastAsia="zh-CN"/>
        </w:rPr>
        <w:t>及实施情况</w:t>
      </w:r>
    </w:p>
    <w:p w14:paraId="573B96A2">
      <w:pPr>
        <w:spacing w:line="560" w:lineRule="exact"/>
        <w:ind w:firstLine="640" w:firstLineChars="200"/>
        <w:rPr>
          <w:rFonts w:hint="eastAsia" w:eastAsia="仿宋_GB2312"/>
          <w:sz w:val="32"/>
          <w:szCs w:val="32"/>
        </w:rPr>
      </w:pPr>
      <w:r>
        <w:rPr>
          <w:rFonts w:hint="eastAsia" w:eastAsia="仿宋_GB2312"/>
          <w:sz w:val="32"/>
          <w:szCs w:val="32"/>
        </w:rPr>
        <w:t>项目主要内容：按照保教费400元/生/月，幼儿读本费130元/生/年，采暖费120元/生/年的标准给予补助，每学年的财政补助按12个月计算，免费资金合计5050元/生/年。按财政要求将此补助中的5050元，拆分出每生600元，按年报数据我园有在册学生275人，用作保民生分类，由此本年度该经费共600*275=165000元。</w:t>
      </w:r>
    </w:p>
    <w:p w14:paraId="7FB8BEF3">
      <w:pPr>
        <w:spacing w:line="560" w:lineRule="exact"/>
        <w:ind w:firstLine="640" w:firstLineChars="200"/>
        <w:rPr>
          <w:rFonts w:hint="eastAsia" w:eastAsia="仿宋_GB2312"/>
          <w:sz w:val="32"/>
          <w:szCs w:val="32"/>
        </w:rPr>
      </w:pPr>
      <w:r>
        <w:rPr>
          <w:rFonts w:eastAsia="仿宋_GB2312"/>
          <w:sz w:val="32"/>
          <w:szCs w:val="32"/>
        </w:rPr>
        <w:t>项目实施情况：项目目前已经完成实际设立的目标，项目在实施过程中严格按照目标设立的各阶段任务进行开展工作，</w:t>
      </w:r>
      <w:r>
        <w:rPr>
          <w:rFonts w:hint="eastAsia" w:eastAsia="仿宋_GB2312"/>
          <w:sz w:val="32"/>
          <w:szCs w:val="32"/>
        </w:rPr>
        <w:t>持续改善办园条件，提高基础教育质量用于优化教育布局，促进教育公平，提高教学质量。</w:t>
      </w:r>
    </w:p>
    <w:p w14:paraId="0034EA08">
      <w:pPr>
        <w:pStyle w:val="8"/>
        <w:numPr>
          <w:ilvl w:val="0"/>
          <w:numId w:val="1"/>
        </w:numPr>
        <w:ind w:left="642" w:leftChars="0" w:firstLine="0" w:firstLineChars="0"/>
        <w:jc w:val="both"/>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学前教育质量提升</w:t>
      </w:r>
    </w:p>
    <w:p w14:paraId="29FD508B">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优化师资队伍：增加教师培训，提升专业能力；改善硬件设施：更新更新教具、玩具等教育资源，满足幼儿发展需求：完善安全设施和卫生条件。</w:t>
      </w:r>
    </w:p>
    <w:p w14:paraId="3D1E6185">
      <w:pPr>
        <w:pStyle w:val="8"/>
        <w:numPr>
          <w:ilvl w:val="0"/>
          <w:numId w:val="1"/>
        </w:numPr>
        <w:ind w:left="642" w:leftChars="0" w:firstLine="0" w:firstLineChars="0"/>
        <w:jc w:val="both"/>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促进幼儿全面发展</w:t>
      </w:r>
    </w:p>
    <w:p w14:paraId="39DFCE68">
      <w:pPr>
        <w:spacing w:line="600" w:lineRule="exact"/>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丰富课程与室外活动，促进幼儿身心协调发展。</w:t>
      </w:r>
    </w:p>
    <w:p w14:paraId="5588BB2A">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资金投入和使用情况</w:t>
      </w:r>
    </w:p>
    <w:p w14:paraId="43399C1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14:paraId="40F052E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w:t>
      </w:r>
      <w:r>
        <w:rPr>
          <w:rFonts w:hint="eastAsia" w:eastAsia="仿宋_GB2312"/>
          <w:sz w:val="32"/>
          <w:szCs w:val="32"/>
          <w:lang w:val="en-US" w:eastAsia="zh-CN"/>
        </w:rPr>
        <w:t>16.5</w:t>
      </w:r>
      <w:r>
        <w:rPr>
          <w:rFonts w:hint="eastAsia" w:ascii="仿宋_GB2312" w:hAnsi="仿宋_GB2312" w:eastAsia="仿宋_GB2312" w:cs="仿宋_GB2312"/>
          <w:sz w:val="32"/>
          <w:szCs w:val="32"/>
        </w:rPr>
        <w:t>万元，全年预算数</w:t>
      </w:r>
      <w:r>
        <w:rPr>
          <w:rFonts w:hint="eastAsia" w:ascii="仿宋_GB2312" w:hAnsi="仿宋_GB2312" w:eastAsia="仿宋_GB2312" w:cs="仿宋_GB2312"/>
          <w:sz w:val="32"/>
          <w:szCs w:val="32"/>
          <w:lang w:val="en-US" w:eastAsia="zh-CN"/>
        </w:rPr>
        <w:t>16.5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资金到位16.5万元，资金到位率100%</w:t>
      </w:r>
      <w:r>
        <w:rPr>
          <w:rFonts w:hint="eastAsia" w:ascii="仿宋_GB2312" w:hAnsi="仿宋_GB2312" w:eastAsia="仿宋_GB2312" w:cs="仿宋_GB2312"/>
          <w:sz w:val="32"/>
          <w:szCs w:val="32"/>
        </w:rPr>
        <w:t>，资金来源为</w:t>
      </w:r>
      <w:r>
        <w:rPr>
          <w:rFonts w:hint="eastAsia" w:ascii="仿宋_GB2312" w:hAnsi="仿宋_GB2312" w:eastAsia="仿宋_GB2312" w:cs="仿宋_GB2312"/>
          <w:sz w:val="32"/>
          <w:szCs w:val="32"/>
          <w:lang w:val="en-US" w:eastAsia="zh-CN"/>
        </w:rPr>
        <w:t>财政拨款</w:t>
      </w:r>
      <w:r>
        <w:rPr>
          <w:rFonts w:hint="eastAsia" w:ascii="仿宋_GB2312" w:hAnsi="仿宋_GB2312" w:eastAsia="仿宋_GB2312" w:cs="仿宋_GB2312"/>
          <w:sz w:val="32"/>
          <w:szCs w:val="32"/>
        </w:rPr>
        <w:t>。</w:t>
      </w:r>
    </w:p>
    <w:p w14:paraId="1FA94F5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14:paraId="427672A7">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该项目</w:t>
      </w:r>
      <w:r>
        <w:rPr>
          <w:rFonts w:hint="eastAsia" w:ascii="仿宋_GB2312" w:hAnsi="仿宋_GB2312" w:eastAsia="仿宋_GB2312" w:cs="仿宋_GB2312"/>
          <w:sz w:val="32"/>
          <w:szCs w:val="32"/>
          <w:lang w:val="en-US" w:eastAsia="zh-CN"/>
        </w:rPr>
        <w:t>资金来源为：</w:t>
      </w:r>
      <w:r>
        <w:rPr>
          <w:rFonts w:hint="eastAsia" w:ascii="仿宋_GB2312" w:hAnsi="仿宋_GB2312" w:eastAsia="仿宋_GB2312" w:cs="仿宋_GB2312"/>
          <w:sz w:val="32"/>
          <w:szCs w:val="32"/>
        </w:rPr>
        <w:t>本级安排财政资金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年初预算数</w:t>
      </w:r>
      <w:r>
        <w:rPr>
          <w:rFonts w:hint="eastAsia" w:eastAsia="仿宋_GB2312"/>
          <w:sz w:val="32"/>
          <w:szCs w:val="32"/>
          <w:lang w:val="en-US" w:eastAsia="zh-CN"/>
        </w:rPr>
        <w:t>16.5</w:t>
      </w:r>
      <w:r>
        <w:rPr>
          <w:rFonts w:hint="eastAsia" w:ascii="仿宋_GB2312" w:hAnsi="仿宋_GB2312" w:eastAsia="仿宋_GB2312" w:cs="仿宋_GB2312"/>
          <w:sz w:val="32"/>
          <w:szCs w:val="32"/>
        </w:rPr>
        <w:t>万元，全年预算数</w:t>
      </w:r>
      <w:r>
        <w:rPr>
          <w:rFonts w:hint="eastAsia" w:ascii="仿宋_GB2312" w:hAnsi="仿宋_GB2312" w:eastAsia="仿宋_GB2312" w:cs="仿宋_GB2312"/>
          <w:sz w:val="32"/>
          <w:szCs w:val="32"/>
          <w:lang w:val="en-US" w:eastAsia="zh-CN"/>
        </w:rPr>
        <w:t>16.5</w:t>
      </w:r>
      <w:r>
        <w:rPr>
          <w:rFonts w:hint="eastAsia" w:ascii="仿宋_GB2312" w:hAnsi="仿宋_GB2312" w:eastAsia="仿宋_GB2312" w:cs="仿宋_GB2312"/>
          <w:sz w:val="32"/>
          <w:szCs w:val="32"/>
        </w:rPr>
        <w:t>万元，全年执行数</w:t>
      </w:r>
      <w:r>
        <w:rPr>
          <w:rFonts w:hint="eastAsia" w:eastAsia="仿宋_GB2312"/>
          <w:sz w:val="32"/>
          <w:szCs w:val="32"/>
          <w:lang w:val="en-US" w:eastAsia="zh-CN"/>
        </w:rPr>
        <w:t>5.32</w:t>
      </w:r>
      <w:r>
        <w:rPr>
          <w:rFonts w:hint="eastAsia" w:ascii="仿宋_GB2312" w:hAnsi="仿宋_GB2312" w:eastAsia="仿宋_GB2312" w:cs="仿宋_GB2312"/>
          <w:sz w:val="32"/>
          <w:szCs w:val="32"/>
        </w:rPr>
        <w:t>万元，预算执行率为</w:t>
      </w:r>
      <w:r>
        <w:rPr>
          <w:rFonts w:hint="eastAsia" w:ascii="仿宋_GB2312" w:hAnsi="仿宋_GB2312" w:eastAsia="仿宋_GB2312" w:cs="仿宋_GB2312"/>
          <w:sz w:val="32"/>
          <w:szCs w:val="32"/>
          <w:lang w:val="en-US" w:eastAsia="zh-CN"/>
        </w:rPr>
        <w:t>32.24</w:t>
      </w:r>
      <w:r>
        <w:rPr>
          <w:rFonts w:hint="eastAsia" w:eastAsia="仿宋_GB2312"/>
          <w:sz w:val="32"/>
          <w:szCs w:val="32"/>
          <w:lang w:val="en-US" w:eastAsia="zh-CN"/>
        </w:rPr>
        <w:t>%</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highlight w:val="none"/>
        </w:rPr>
        <w:t>保障日常公用，园内维修及文化建设改造项目使用；全面帮助幼儿园提升教育教学质量，改善幼儿园办学管理水平，切实推进新疆学前教育事业发展，促进教育公平。保障学前教育需求，促进教育事业的发展。</w:t>
      </w:r>
    </w:p>
    <w:p w14:paraId="0BB24730">
      <w:pPr>
        <w:spacing w:line="560" w:lineRule="exact"/>
        <w:ind w:firstLine="643" w:firstLineChars="200"/>
        <w:rPr>
          <w:rFonts w:eastAsia="楷体_GB2312"/>
          <w:b/>
          <w:bCs/>
          <w:sz w:val="32"/>
          <w:szCs w:val="32"/>
        </w:rPr>
      </w:pPr>
      <w:r>
        <w:rPr>
          <w:rFonts w:eastAsia="楷体_GB2312"/>
          <w:b/>
          <w:bCs/>
          <w:sz w:val="32"/>
          <w:szCs w:val="32"/>
        </w:rPr>
        <w:t>（二）项目绩效目标</w:t>
      </w:r>
    </w:p>
    <w:p w14:paraId="294B264F">
      <w:pPr>
        <w:spacing w:line="560" w:lineRule="exact"/>
        <w:ind w:firstLine="643" w:firstLineChars="200"/>
        <w:rPr>
          <w:rFonts w:eastAsia="仿宋_GB2312"/>
          <w:sz w:val="32"/>
          <w:szCs w:val="32"/>
        </w:rPr>
      </w:pPr>
      <w:r>
        <w:rPr>
          <w:rFonts w:hint="eastAsia" w:ascii="仿宋_GB2312" w:hAnsi="仿宋_GB2312" w:eastAsia="仿宋_GB2312" w:cs="仿宋_GB2312"/>
          <w:b/>
          <w:bCs/>
          <w:kern w:val="0"/>
          <w:sz w:val="32"/>
          <w:szCs w:val="32"/>
          <w:lang w:val="en-US" w:eastAsia="zh-CN" w:bidi="ar-SA"/>
        </w:rPr>
        <w:t>1.总体目标</w:t>
      </w:r>
    </w:p>
    <w:p w14:paraId="200AFE9A">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项目资金主要用于保障幼儿园正常运转以及幼儿园教育教学活动正常开展，能按照政策要求助力推进新疆学前教育事业发展，资金用途包括但不限于水电通信费、教师培训费和各类必要维修费。</w:t>
      </w:r>
    </w:p>
    <w:p w14:paraId="3E3CEF3E">
      <w:pPr>
        <w:numPr>
          <w:ilvl w:val="0"/>
          <w:numId w:val="2"/>
        </w:numPr>
        <w:spacing w:line="560" w:lineRule="exact"/>
        <w:ind w:firstLine="643" w:firstLineChars="200"/>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阶段性目标</w:t>
      </w:r>
    </w:p>
    <w:p w14:paraId="70246159">
      <w:pPr>
        <w:numPr>
          <w:ilvl w:val="0"/>
          <w:numId w:val="0"/>
        </w:numPr>
        <w:spacing w:line="560" w:lineRule="exact"/>
        <w:ind w:firstLine="640" w:firstLineChars="200"/>
        <w:rPr>
          <w:rFonts w:ascii="仿宋_GB2312" w:hAnsi="仿宋_GB2312" w:eastAsia="仿宋_GB2312" w:cs="仿宋_GB2312"/>
          <w:b w:val="0"/>
          <w:bCs w:val="0"/>
          <w:color w:val="FF0000"/>
          <w:sz w:val="30"/>
          <w:szCs w:val="30"/>
        </w:rPr>
      </w:pPr>
      <w:r>
        <w:rPr>
          <w:rFonts w:hint="eastAsia" w:eastAsia="仿宋_GB2312"/>
          <w:sz w:val="32"/>
          <w:szCs w:val="32"/>
          <w:lang w:val="en-US" w:eastAsia="zh-CN"/>
        </w:rPr>
        <w:t>2024</w:t>
      </w:r>
      <w:r>
        <w:rPr>
          <w:rFonts w:hint="eastAsia" w:ascii="仿宋_GB2312" w:hAnsi="仿宋_GB2312" w:eastAsia="仿宋_GB2312" w:cs="仿宋_GB2312"/>
          <w:sz w:val="32"/>
          <w:szCs w:val="32"/>
          <w:highlight w:val="none"/>
        </w:rPr>
        <w:t>年至少支付</w:t>
      </w:r>
      <w:r>
        <w:rPr>
          <w:rFonts w:hint="default" w:ascii="Times New Roman" w:hAnsi="Times New Roman" w:eastAsia="仿宋_GB2312" w:cs="Times New Roman"/>
          <w:sz w:val="32"/>
          <w:szCs w:val="32"/>
          <w:highlight w:val="none"/>
        </w:rPr>
        <w:t>4</w:t>
      </w:r>
      <w:r>
        <w:rPr>
          <w:rFonts w:hint="eastAsia" w:ascii="仿宋_GB2312" w:hAnsi="仿宋_GB2312" w:eastAsia="仿宋_GB2312" w:cs="仿宋_GB2312"/>
          <w:sz w:val="32"/>
          <w:szCs w:val="32"/>
          <w:highlight w:val="none"/>
        </w:rPr>
        <w:t>次电费、电话费、水费保障幼儿园正常运转，下半年集中支付历年例如维修费、教师培训费、</w:t>
      </w:r>
      <w:r>
        <w:rPr>
          <w:rFonts w:hint="eastAsia" w:ascii="仿宋_GB2312" w:hAnsi="仿宋_GB2312" w:eastAsia="仿宋_GB2312" w:cs="仿宋_GB2312"/>
          <w:sz w:val="32"/>
          <w:szCs w:val="32"/>
          <w:highlight w:val="none"/>
          <w:lang w:val="en-US" w:eastAsia="zh-CN"/>
        </w:rPr>
        <w:t>维修（护）费</w:t>
      </w:r>
      <w:r>
        <w:rPr>
          <w:rFonts w:hint="eastAsia" w:ascii="仿宋_GB2312" w:hAnsi="仿宋_GB2312" w:eastAsia="仿宋_GB2312" w:cs="仿宋_GB2312"/>
          <w:sz w:val="32"/>
          <w:szCs w:val="32"/>
          <w:highlight w:val="none"/>
        </w:rPr>
        <w:t>等。改善幼儿园硬件设施、改善园舍环境、通过不断培训提升教师专业素养，购买教学用具，保障教育教学需求。</w:t>
      </w:r>
    </w:p>
    <w:p w14:paraId="55777EDC">
      <w:pPr>
        <w:spacing w:line="560" w:lineRule="exact"/>
        <w:ind w:firstLine="640" w:firstLineChars="200"/>
        <w:rPr>
          <w:rFonts w:eastAsia="黑体"/>
          <w:sz w:val="32"/>
          <w:szCs w:val="32"/>
        </w:rPr>
      </w:pPr>
      <w:r>
        <w:rPr>
          <w:rFonts w:eastAsia="黑体"/>
          <w:sz w:val="32"/>
          <w:szCs w:val="32"/>
        </w:rPr>
        <w:t>二、绩效评价工作开展情况</w:t>
      </w:r>
    </w:p>
    <w:p w14:paraId="712065F2">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576BCA8B">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绩效评价的目的</w:t>
      </w:r>
    </w:p>
    <w:p w14:paraId="582611FA">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2D1B339C">
      <w:pPr>
        <w:numPr>
          <w:ilvl w:val="0"/>
          <w:numId w:val="3"/>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75542CA8">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3090C420">
      <w:pPr>
        <w:pStyle w:val="19"/>
        <w:spacing w:line="560" w:lineRule="exact"/>
        <w:ind w:firstLine="640" w:firstLineChars="200"/>
        <w:rPr>
          <w:rFonts w:hint="eastAsia" w:eastAsia="仿宋_GB2312"/>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5948C0D9">
      <w:pPr>
        <w:pStyle w:val="19"/>
        <w:spacing w:line="560" w:lineRule="exact"/>
        <w:ind w:firstLine="640" w:firstLineChars="200"/>
        <w:rPr>
          <w:rFonts w:hint="eastAsia" w:eastAsia="仿宋_GB2312"/>
          <w:sz w:val="32"/>
          <w:szCs w:val="32"/>
          <w:lang w:eastAsia="zh-CN"/>
        </w:rPr>
      </w:pPr>
      <w:r>
        <w:rPr>
          <w:rFonts w:hint="eastAsia" w:eastAsia="仿宋_GB2312"/>
          <w:sz w:val="32"/>
          <w:szCs w:val="32"/>
        </w:rPr>
        <w:t>学前免费教育经费绩效评价的目的在于系统评估教育经费的使用效率、效果和公平性，确保公共资源投入能够最大化地实现政策目标，促进学前教育高质量发展</w:t>
      </w:r>
      <w:r>
        <w:rPr>
          <w:rFonts w:hint="eastAsia" w:eastAsia="仿宋_GB2312"/>
          <w:sz w:val="32"/>
          <w:szCs w:val="32"/>
          <w:lang w:eastAsia="zh-CN"/>
        </w:rPr>
        <w:t>。</w:t>
      </w:r>
    </w:p>
    <w:p w14:paraId="2750C756">
      <w:pPr>
        <w:pStyle w:val="19"/>
        <w:spacing w:line="560" w:lineRule="exact"/>
        <w:ind w:firstLine="640" w:firstLineChars="200"/>
        <w:rPr>
          <w:rFonts w:hint="eastAsia" w:eastAsia="仿宋_GB2312"/>
          <w:sz w:val="32"/>
          <w:szCs w:val="32"/>
        </w:rPr>
      </w:pPr>
      <w:r>
        <w:rPr>
          <w:rFonts w:hint="eastAsia" w:eastAsia="仿宋_GB2312"/>
          <w:sz w:val="32"/>
          <w:szCs w:val="32"/>
          <w:lang w:eastAsia="zh-CN"/>
        </w:rPr>
        <w:t>（</w:t>
      </w:r>
      <w:r>
        <w:rPr>
          <w:rFonts w:hint="eastAsia" w:eastAsia="仿宋_GB2312"/>
          <w:sz w:val="32"/>
          <w:szCs w:val="32"/>
          <w:lang w:val="en-US" w:eastAsia="zh-CN"/>
        </w:rPr>
        <w:t>1</w:t>
      </w:r>
      <w:r>
        <w:rPr>
          <w:rFonts w:hint="eastAsia" w:eastAsia="仿宋_GB2312"/>
          <w:sz w:val="32"/>
          <w:szCs w:val="32"/>
          <w:lang w:eastAsia="zh-CN"/>
        </w:rPr>
        <w:t>）</w:t>
      </w:r>
      <w:r>
        <w:rPr>
          <w:rFonts w:hint="eastAsia" w:eastAsia="仿宋_GB2312"/>
          <w:sz w:val="32"/>
          <w:szCs w:val="32"/>
        </w:rPr>
        <w:t>保障经费使用效率</w:t>
      </w:r>
    </w:p>
    <w:p w14:paraId="4E5A8521">
      <w:pPr>
        <w:pStyle w:val="19"/>
        <w:spacing w:line="560" w:lineRule="exact"/>
        <w:ind w:firstLine="640" w:firstLineChars="200"/>
        <w:rPr>
          <w:rFonts w:hint="eastAsia" w:eastAsia="仿宋_GB2312"/>
          <w:sz w:val="32"/>
          <w:szCs w:val="32"/>
        </w:rPr>
      </w:pPr>
      <w:r>
        <w:rPr>
          <w:rFonts w:hint="eastAsia" w:eastAsia="仿宋_GB2312"/>
          <w:sz w:val="32"/>
          <w:szCs w:val="32"/>
        </w:rPr>
        <w:t>优化资源配置：评估经费是否合理分配，避免浪费或重复投入。</w:t>
      </w:r>
    </w:p>
    <w:p w14:paraId="23565834">
      <w:pPr>
        <w:pStyle w:val="19"/>
        <w:spacing w:line="560" w:lineRule="exact"/>
        <w:ind w:firstLine="640" w:firstLineChars="200"/>
        <w:rPr>
          <w:rFonts w:hint="eastAsia" w:eastAsia="仿宋_GB2312"/>
          <w:sz w:val="32"/>
          <w:szCs w:val="32"/>
        </w:rPr>
      </w:pPr>
      <w:r>
        <w:rPr>
          <w:rFonts w:hint="eastAsia" w:eastAsia="仿宋_GB2312"/>
          <w:sz w:val="32"/>
          <w:szCs w:val="32"/>
        </w:rPr>
        <w:t>成本效益分析：衡量经费投入与产出（如入园率、教育质量提升）的比例，确保资金使用高效。</w:t>
      </w:r>
    </w:p>
    <w:p w14:paraId="0E91F7A4">
      <w:pPr>
        <w:pStyle w:val="19"/>
        <w:spacing w:line="560" w:lineRule="exact"/>
        <w:ind w:firstLine="640" w:firstLineChars="200"/>
        <w:rPr>
          <w:rFonts w:hint="eastAsia" w:eastAsia="仿宋_GB2312"/>
          <w:sz w:val="32"/>
          <w:szCs w:val="32"/>
        </w:rPr>
      </w:pPr>
      <w:r>
        <w:rPr>
          <w:rFonts w:hint="eastAsia" w:eastAsia="仿宋_GB2312"/>
          <w:sz w:val="32"/>
          <w:szCs w:val="32"/>
          <w:lang w:eastAsia="zh-CN"/>
        </w:rPr>
        <w:t>（</w:t>
      </w:r>
      <w:r>
        <w:rPr>
          <w:rFonts w:hint="eastAsia" w:eastAsia="仿宋_GB2312"/>
          <w:sz w:val="32"/>
          <w:szCs w:val="32"/>
          <w:lang w:val="en-US" w:eastAsia="zh-CN"/>
        </w:rPr>
        <w:t>2</w:t>
      </w:r>
      <w:r>
        <w:rPr>
          <w:rFonts w:hint="eastAsia" w:eastAsia="仿宋_GB2312"/>
          <w:sz w:val="32"/>
          <w:szCs w:val="32"/>
          <w:lang w:eastAsia="zh-CN"/>
        </w:rPr>
        <w:t>）</w:t>
      </w:r>
      <w:r>
        <w:rPr>
          <w:rFonts w:hint="eastAsia" w:eastAsia="仿宋_GB2312"/>
          <w:sz w:val="32"/>
          <w:szCs w:val="32"/>
        </w:rPr>
        <w:t>提升教育质量</w:t>
      </w:r>
    </w:p>
    <w:p w14:paraId="181966F1">
      <w:pPr>
        <w:pStyle w:val="19"/>
        <w:spacing w:line="560" w:lineRule="exact"/>
        <w:ind w:firstLine="640" w:firstLineChars="200"/>
        <w:rPr>
          <w:rFonts w:hint="eastAsia" w:eastAsia="仿宋_GB2312"/>
          <w:sz w:val="32"/>
          <w:szCs w:val="32"/>
        </w:rPr>
      </w:pPr>
      <w:r>
        <w:rPr>
          <w:rFonts w:hint="eastAsia" w:eastAsia="仿宋_GB2312"/>
          <w:sz w:val="32"/>
          <w:szCs w:val="32"/>
        </w:rPr>
        <w:t>服务效果评估：检验经费是否有效改善学前教育硬件（设施设备）、软件（师资培训、课程开发）等。</w:t>
      </w:r>
    </w:p>
    <w:p w14:paraId="6175E890">
      <w:pPr>
        <w:pStyle w:val="19"/>
        <w:spacing w:line="560" w:lineRule="exact"/>
        <w:ind w:firstLine="640" w:firstLineChars="200"/>
        <w:rPr>
          <w:rFonts w:hint="eastAsia" w:eastAsia="仿宋_GB2312"/>
          <w:sz w:val="32"/>
          <w:szCs w:val="32"/>
        </w:rPr>
      </w:pPr>
      <w:r>
        <w:rPr>
          <w:rFonts w:hint="eastAsia" w:eastAsia="仿宋_GB2312"/>
          <w:sz w:val="32"/>
          <w:szCs w:val="32"/>
        </w:rPr>
        <w:t>儿童发展成果：通过幼儿综合素质（认知、社交能力等）变化，评价经费对教育质量的实际影响。</w:t>
      </w:r>
    </w:p>
    <w:p w14:paraId="5698E21E">
      <w:pPr>
        <w:pStyle w:val="19"/>
        <w:spacing w:line="560" w:lineRule="exact"/>
        <w:ind w:firstLine="640" w:firstLineChars="200"/>
        <w:rPr>
          <w:rFonts w:hint="eastAsia" w:eastAsia="仿宋_GB2312"/>
          <w:sz w:val="32"/>
          <w:szCs w:val="32"/>
        </w:rPr>
      </w:pPr>
      <w:r>
        <w:rPr>
          <w:rFonts w:hint="eastAsia" w:eastAsia="仿宋_GB2312"/>
          <w:sz w:val="32"/>
          <w:szCs w:val="32"/>
          <w:lang w:eastAsia="zh-CN"/>
        </w:rPr>
        <w:t>（</w:t>
      </w:r>
      <w:r>
        <w:rPr>
          <w:rFonts w:hint="eastAsia" w:eastAsia="仿宋_GB2312"/>
          <w:sz w:val="32"/>
          <w:szCs w:val="32"/>
          <w:lang w:val="en-US" w:eastAsia="zh-CN"/>
        </w:rPr>
        <w:t>3</w:t>
      </w:r>
      <w:r>
        <w:rPr>
          <w:rFonts w:hint="eastAsia" w:eastAsia="仿宋_GB2312"/>
          <w:sz w:val="32"/>
          <w:szCs w:val="32"/>
          <w:lang w:eastAsia="zh-CN"/>
        </w:rPr>
        <w:t>）</w:t>
      </w:r>
      <w:r>
        <w:rPr>
          <w:rFonts w:hint="eastAsia" w:eastAsia="仿宋_GB2312"/>
          <w:sz w:val="32"/>
          <w:szCs w:val="32"/>
        </w:rPr>
        <w:t>促进教育公平</w:t>
      </w:r>
    </w:p>
    <w:p w14:paraId="65AF70FF">
      <w:pPr>
        <w:pStyle w:val="19"/>
        <w:spacing w:line="560" w:lineRule="exact"/>
        <w:ind w:firstLine="640" w:firstLineChars="200"/>
        <w:rPr>
          <w:rFonts w:hint="eastAsia" w:eastAsia="仿宋_GB2312"/>
          <w:sz w:val="32"/>
          <w:szCs w:val="32"/>
        </w:rPr>
      </w:pPr>
      <w:r>
        <w:rPr>
          <w:rFonts w:hint="eastAsia" w:eastAsia="仿宋_GB2312"/>
          <w:sz w:val="32"/>
          <w:szCs w:val="32"/>
        </w:rPr>
        <w:t>覆盖均衡性：分析经费是否惠及所有目标群体。</w:t>
      </w:r>
    </w:p>
    <w:p w14:paraId="3E2F7F55">
      <w:pPr>
        <w:pStyle w:val="19"/>
        <w:spacing w:line="560" w:lineRule="exact"/>
        <w:ind w:firstLine="640" w:firstLineChars="200"/>
        <w:rPr>
          <w:rFonts w:hint="eastAsia" w:eastAsia="仿宋_GB2312"/>
          <w:sz w:val="32"/>
          <w:szCs w:val="32"/>
        </w:rPr>
      </w:pPr>
      <w:r>
        <w:rPr>
          <w:rFonts w:hint="eastAsia" w:eastAsia="仿宋_GB2312"/>
          <w:sz w:val="32"/>
          <w:szCs w:val="32"/>
        </w:rPr>
        <w:t>可及性评价：确保免费政策降低家庭经济负担，特别是弱势群体的入园门槛。</w:t>
      </w:r>
    </w:p>
    <w:p w14:paraId="0C659C5A">
      <w:pPr>
        <w:pStyle w:val="19"/>
        <w:spacing w:line="560" w:lineRule="exact"/>
        <w:ind w:firstLine="640" w:firstLineChars="200"/>
        <w:rPr>
          <w:rFonts w:hint="eastAsia" w:eastAsia="仿宋_GB2312"/>
          <w:sz w:val="32"/>
          <w:szCs w:val="32"/>
        </w:rPr>
      </w:pPr>
      <w:r>
        <w:rPr>
          <w:rFonts w:hint="eastAsia" w:eastAsia="仿宋_GB2312"/>
          <w:sz w:val="32"/>
          <w:szCs w:val="32"/>
          <w:lang w:eastAsia="zh-CN"/>
        </w:rPr>
        <w:t>（</w:t>
      </w:r>
      <w:r>
        <w:rPr>
          <w:rFonts w:hint="eastAsia" w:eastAsia="仿宋_GB2312"/>
          <w:sz w:val="32"/>
          <w:szCs w:val="32"/>
          <w:lang w:val="en-US" w:eastAsia="zh-CN"/>
        </w:rPr>
        <w:t>4</w:t>
      </w:r>
      <w:r>
        <w:rPr>
          <w:rFonts w:hint="eastAsia" w:eastAsia="仿宋_GB2312"/>
          <w:sz w:val="32"/>
          <w:szCs w:val="32"/>
          <w:lang w:eastAsia="zh-CN"/>
        </w:rPr>
        <w:t>）</w:t>
      </w:r>
      <w:r>
        <w:rPr>
          <w:rFonts w:hint="eastAsia" w:eastAsia="仿宋_GB2312"/>
          <w:sz w:val="32"/>
          <w:szCs w:val="32"/>
        </w:rPr>
        <w:t>强化政策可持续性</w:t>
      </w:r>
    </w:p>
    <w:p w14:paraId="1C143AB1">
      <w:pPr>
        <w:pStyle w:val="19"/>
        <w:spacing w:line="560" w:lineRule="exact"/>
        <w:ind w:firstLine="640" w:firstLineChars="200"/>
        <w:rPr>
          <w:rFonts w:hint="eastAsia" w:eastAsia="仿宋_GB2312"/>
          <w:sz w:val="32"/>
          <w:szCs w:val="32"/>
        </w:rPr>
      </w:pPr>
      <w:r>
        <w:rPr>
          <w:rFonts w:hint="eastAsia" w:eastAsia="仿宋_GB2312"/>
          <w:sz w:val="32"/>
          <w:szCs w:val="32"/>
        </w:rPr>
        <w:t>长期效益评估：判断经费投入是否形成可持续的学前教育服务体系（如教师队伍稳定性、园所运营能力）。</w:t>
      </w:r>
    </w:p>
    <w:p w14:paraId="4EC68707">
      <w:pPr>
        <w:pStyle w:val="19"/>
        <w:spacing w:line="560" w:lineRule="exact"/>
        <w:ind w:firstLine="640" w:firstLineChars="200"/>
        <w:rPr>
          <w:rFonts w:hint="eastAsia" w:eastAsia="仿宋_GB2312"/>
          <w:sz w:val="32"/>
          <w:szCs w:val="32"/>
        </w:rPr>
      </w:pPr>
      <w:r>
        <w:rPr>
          <w:rFonts w:hint="eastAsia" w:eastAsia="仿宋_GB2312"/>
          <w:sz w:val="32"/>
          <w:szCs w:val="32"/>
          <w:lang w:eastAsia="zh-CN"/>
        </w:rPr>
        <w:t>（</w:t>
      </w:r>
      <w:r>
        <w:rPr>
          <w:rFonts w:hint="eastAsia" w:eastAsia="仿宋_GB2312"/>
          <w:sz w:val="32"/>
          <w:szCs w:val="32"/>
          <w:lang w:val="en-US" w:eastAsia="zh-CN"/>
        </w:rPr>
        <w:t>5</w:t>
      </w:r>
      <w:r>
        <w:rPr>
          <w:rFonts w:hint="eastAsia" w:eastAsia="仿宋_GB2312"/>
          <w:sz w:val="32"/>
          <w:szCs w:val="32"/>
          <w:lang w:eastAsia="zh-CN"/>
        </w:rPr>
        <w:t>）</w:t>
      </w:r>
      <w:r>
        <w:rPr>
          <w:rFonts w:hint="eastAsia" w:eastAsia="仿宋_GB2312"/>
          <w:sz w:val="32"/>
          <w:szCs w:val="32"/>
        </w:rPr>
        <w:t>落实责任与透明度</w:t>
      </w:r>
    </w:p>
    <w:p w14:paraId="25EDB83A">
      <w:pPr>
        <w:pStyle w:val="19"/>
        <w:spacing w:line="560" w:lineRule="exact"/>
        <w:ind w:firstLine="640" w:firstLineChars="200"/>
        <w:rPr>
          <w:rFonts w:hint="eastAsia" w:eastAsia="仿宋_GB2312"/>
          <w:sz w:val="32"/>
          <w:szCs w:val="32"/>
        </w:rPr>
      </w:pPr>
      <w:r>
        <w:rPr>
          <w:rFonts w:hint="eastAsia" w:eastAsia="仿宋_GB2312"/>
          <w:sz w:val="32"/>
          <w:szCs w:val="32"/>
        </w:rPr>
        <w:t>问责机制：监督经费管理流程是否规范，防止挪用或低效执行。</w:t>
      </w:r>
    </w:p>
    <w:p w14:paraId="6AF5BA2E">
      <w:pPr>
        <w:pStyle w:val="19"/>
        <w:spacing w:line="560" w:lineRule="exact"/>
        <w:ind w:firstLine="640" w:firstLineChars="200"/>
        <w:rPr>
          <w:rFonts w:hint="eastAsia" w:eastAsia="仿宋_GB2312"/>
          <w:sz w:val="32"/>
          <w:szCs w:val="32"/>
        </w:rPr>
      </w:pPr>
      <w:r>
        <w:rPr>
          <w:rFonts w:hint="eastAsia" w:eastAsia="仿宋_GB2312"/>
          <w:sz w:val="32"/>
          <w:szCs w:val="32"/>
        </w:rPr>
        <w:t>公众参与：通过公开评价结果，增强社会对政府决策的信任与监</w:t>
      </w:r>
      <w:r>
        <w:rPr>
          <w:rFonts w:hint="eastAsia" w:eastAsia="仿宋_GB2312"/>
          <w:sz w:val="32"/>
          <w:szCs w:val="32"/>
          <w:lang w:eastAsia="zh-CN"/>
        </w:rPr>
        <w:t>，</w:t>
      </w:r>
      <w:r>
        <w:rPr>
          <w:rFonts w:hint="eastAsia" w:eastAsia="仿宋_GB2312"/>
          <w:sz w:val="32"/>
          <w:szCs w:val="32"/>
        </w:rPr>
        <w:t>保障经费使用效率</w:t>
      </w:r>
      <w:r>
        <w:rPr>
          <w:rFonts w:hint="eastAsia" w:eastAsia="仿宋_GB2312"/>
          <w:sz w:val="32"/>
          <w:szCs w:val="32"/>
          <w:lang w:eastAsia="zh-CN"/>
        </w:rPr>
        <w:t>。</w:t>
      </w:r>
    </w:p>
    <w:p w14:paraId="0395892F">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绩效评价的对象</w:t>
      </w:r>
    </w:p>
    <w:p w14:paraId="5DCB102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rPr>
        <w:t>学前免费教育经费</w:t>
      </w:r>
      <w:r>
        <w:rPr>
          <w:rFonts w:hint="eastAsia" w:ascii="仿宋_GB2312" w:hAnsi="仿宋_GB2312" w:eastAsia="仿宋_GB2312" w:cs="仿宋_GB2312"/>
          <w:sz w:val="32"/>
          <w:szCs w:val="32"/>
        </w:rPr>
        <w:t>项目所包含的全部项目内容。</w:t>
      </w:r>
    </w:p>
    <w:p w14:paraId="102A59DA">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绩效评价的范围</w:t>
      </w:r>
    </w:p>
    <w:p w14:paraId="28C5A65A">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sz w:val="32"/>
          <w:szCs w:val="32"/>
          <w:highlight w:val="none"/>
        </w:rPr>
        <w:t>学前免费教育经费项目</w:t>
      </w:r>
      <w:r>
        <w:rPr>
          <w:rFonts w:hint="eastAsia" w:ascii="仿宋_GB2312" w:hAnsi="仿宋_GB2312" w:eastAsia="仿宋_GB2312" w:cs="仿宋_GB2312"/>
          <w:sz w:val="32"/>
          <w:szCs w:val="32"/>
        </w:rPr>
        <w:t>进行评价，评价核心为专项资金的支出完成情况和效果。</w:t>
      </w:r>
    </w:p>
    <w:p w14:paraId="57D9C183">
      <w:pPr>
        <w:spacing w:line="560" w:lineRule="exact"/>
        <w:ind w:firstLine="643" w:firstLineChars="200"/>
      </w:pPr>
      <w:r>
        <w:rPr>
          <w:rFonts w:eastAsia="楷体_GB2312"/>
          <w:b/>
          <w:bCs/>
          <w:sz w:val="32"/>
          <w:szCs w:val="32"/>
        </w:rPr>
        <w:t>（二）绩效评价原则、评价指标体系（详情见</w:t>
      </w:r>
      <w:r>
        <w:rPr>
          <w:rFonts w:hint="eastAsia" w:eastAsia="楷体_GB2312"/>
          <w:b/>
          <w:bCs/>
          <w:sz w:val="32"/>
          <w:szCs w:val="32"/>
          <w:lang w:val="en-US" w:eastAsia="zh-CN"/>
        </w:rPr>
        <w:t>附件2</w:t>
      </w:r>
      <w:r>
        <w:rPr>
          <w:rFonts w:eastAsia="楷体_GB2312"/>
          <w:b/>
          <w:bCs/>
          <w:sz w:val="32"/>
          <w:szCs w:val="32"/>
        </w:rPr>
        <w:t>）、评价方法、评价标准</w:t>
      </w:r>
    </w:p>
    <w:p w14:paraId="6731E5EF">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绩效评价原则</w:t>
      </w:r>
    </w:p>
    <w:p w14:paraId="177E9DA9">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62A7D60F">
      <w:pPr>
        <w:pStyle w:val="8"/>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63542D80">
      <w:pPr>
        <w:pStyle w:val="8"/>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24053289">
      <w:pPr>
        <w:pStyle w:val="8"/>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225B9B4D">
      <w:pPr>
        <w:pStyle w:val="8"/>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137AB84E">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评价指标体系</w:t>
      </w:r>
    </w:p>
    <w:p w14:paraId="67CE0507">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3BBC4A57">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4A78494E">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6C0C7ECA">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47550397">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2851A067">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685D3FA3">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6884F01D">
      <w:pPr>
        <w:pStyle w:val="8"/>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631238F9">
      <w:pPr>
        <w:pStyle w:val="8"/>
        <w:widowControl w:val="0"/>
        <w:spacing w:before="0" w:after="0" w:line="560" w:lineRule="exact"/>
        <w:ind w:firstLine="708" w:firstLineChars="200"/>
        <w:jc w:val="both"/>
        <w:outlineLvl w:val="9"/>
        <w:rPr>
          <w:rFonts w:hint="eastAsia" w:ascii="Times New Roman" w:hAnsi="Times New Roman" w:eastAsia="仿宋_GB2312"/>
          <w:b w:val="0"/>
          <w:bCs w:val="0"/>
          <w:color w:val="000000"/>
          <w:spacing w:val="17"/>
          <w:lang w:val="en-US" w:eastAsia="zh-CN"/>
        </w:rPr>
      </w:pPr>
      <w:r>
        <w:rPr>
          <w:rFonts w:ascii="Times New Roman" w:hAnsi="Times New Roman" w:eastAsia="仿宋_GB2312"/>
          <w:b w:val="0"/>
          <w:bCs w:val="0"/>
          <w:color w:val="000000"/>
          <w:spacing w:val="17"/>
        </w:rPr>
        <w:t>具体评价指标体系</w:t>
      </w:r>
      <w:r>
        <w:rPr>
          <w:rFonts w:hint="eastAsia" w:ascii="Times New Roman" w:hAnsi="Times New Roman" w:eastAsia="仿宋_GB2312"/>
          <w:b w:val="0"/>
          <w:bCs w:val="0"/>
          <w:color w:val="000000"/>
          <w:spacing w:val="17"/>
          <w:lang w:val="en-US" w:eastAsia="zh-CN"/>
        </w:rPr>
        <w:t>如下：</w:t>
      </w:r>
    </w:p>
    <w:p w14:paraId="5A249660">
      <w:pPr>
        <w:pStyle w:val="19"/>
        <w:ind w:firstLine="562"/>
        <w:jc w:val="center"/>
        <w:rPr>
          <w:rFonts w:hint="eastAsia"/>
          <w:b/>
          <w:bCs/>
          <w:sz w:val="28"/>
          <w:szCs w:val="40"/>
          <w:highlight w:val="none"/>
          <w:lang w:val="en-US" w:eastAsia="zh-CN"/>
        </w:rPr>
      </w:pPr>
    </w:p>
    <w:p w14:paraId="48A0AB1A">
      <w:pPr>
        <w:pStyle w:val="19"/>
        <w:ind w:firstLine="562"/>
        <w:jc w:val="center"/>
        <w:rPr>
          <w:rFonts w:hint="eastAsia"/>
          <w:b/>
          <w:bCs/>
          <w:sz w:val="28"/>
          <w:szCs w:val="40"/>
          <w:highlight w:val="none"/>
          <w:lang w:val="en-US" w:eastAsia="zh-CN"/>
        </w:rPr>
      </w:pPr>
    </w:p>
    <w:p w14:paraId="74CEF4C6">
      <w:pPr>
        <w:pStyle w:val="19"/>
        <w:ind w:firstLine="562"/>
        <w:jc w:val="center"/>
        <w:rPr>
          <w:rFonts w:hint="eastAsia"/>
          <w:b/>
          <w:bCs/>
          <w:sz w:val="28"/>
          <w:szCs w:val="40"/>
          <w:highlight w:val="none"/>
          <w:lang w:val="en-US" w:eastAsia="zh-CN"/>
        </w:rPr>
      </w:pPr>
    </w:p>
    <w:p w14:paraId="7BC32571">
      <w:pPr>
        <w:pStyle w:val="19"/>
        <w:ind w:firstLine="562"/>
        <w:jc w:val="center"/>
        <w:rPr>
          <w:rFonts w:hint="eastAsia"/>
          <w:b/>
          <w:bCs/>
          <w:sz w:val="28"/>
          <w:szCs w:val="40"/>
          <w:highlight w:val="none"/>
          <w:lang w:val="en-US" w:eastAsia="zh-CN"/>
        </w:rPr>
      </w:pPr>
    </w:p>
    <w:p w14:paraId="50D76146">
      <w:pPr>
        <w:pStyle w:val="19"/>
        <w:ind w:firstLine="562"/>
        <w:jc w:val="center"/>
        <w:rPr>
          <w:rFonts w:hint="eastAsia"/>
          <w:b/>
          <w:bCs/>
          <w:sz w:val="28"/>
          <w:szCs w:val="40"/>
          <w:highlight w:val="none"/>
          <w:lang w:val="en-US" w:eastAsia="zh-CN"/>
        </w:rPr>
      </w:pPr>
    </w:p>
    <w:p w14:paraId="628AED5B">
      <w:pPr>
        <w:pStyle w:val="19"/>
        <w:ind w:firstLine="562"/>
        <w:jc w:val="center"/>
        <w:rPr>
          <w:rFonts w:hint="eastAsia"/>
          <w:b/>
          <w:bCs/>
          <w:sz w:val="28"/>
          <w:szCs w:val="40"/>
          <w:highlight w:val="none"/>
          <w:lang w:val="en-US" w:eastAsia="zh-CN"/>
        </w:rPr>
      </w:pPr>
    </w:p>
    <w:p w14:paraId="342796C0">
      <w:pPr>
        <w:pStyle w:val="19"/>
        <w:ind w:firstLine="562"/>
        <w:jc w:val="center"/>
        <w:rPr>
          <w:sz w:val="28"/>
          <w:szCs w:val="40"/>
        </w:rPr>
      </w:pPr>
      <w:r>
        <w:rPr>
          <w:rFonts w:hint="eastAsia"/>
          <w:b/>
          <w:bCs/>
          <w:sz w:val="28"/>
          <w:szCs w:val="40"/>
          <w:highlight w:val="none"/>
          <w:lang w:val="en-US" w:eastAsia="zh-CN"/>
        </w:rPr>
        <w:t>学前免费教育经费</w:t>
      </w:r>
      <w:r>
        <w:rPr>
          <w:rFonts w:hint="eastAsia"/>
          <w:b/>
          <w:bCs/>
          <w:sz w:val="28"/>
          <w:szCs w:val="40"/>
          <w:highlight w:val="none"/>
        </w:rPr>
        <w:t>项目</w:t>
      </w:r>
      <w:r>
        <w:rPr>
          <w:rFonts w:hint="eastAsia"/>
          <w:b/>
          <w:bCs/>
          <w:sz w:val="28"/>
          <w:szCs w:val="40"/>
        </w:rPr>
        <w:t>绩效评价指标体系及综合评分表</w:t>
      </w:r>
    </w:p>
    <w:tbl>
      <w:tblPr>
        <w:tblStyle w:val="11"/>
        <w:tblW w:w="4474"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514"/>
        <w:gridCol w:w="472"/>
        <w:gridCol w:w="540"/>
        <w:gridCol w:w="1455"/>
        <w:gridCol w:w="3214"/>
        <w:gridCol w:w="804"/>
        <w:gridCol w:w="843"/>
      </w:tblGrid>
      <w:tr w14:paraId="739FD18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2" w:hRule="atLeast"/>
          <w:tblHeader/>
          <w:jc w:val="center"/>
        </w:trPr>
        <w:tc>
          <w:tcPr>
            <w:tcW w:w="328" w:type="pct"/>
            <w:shd w:val="clear" w:color="auto" w:fill="FFFFFF"/>
            <w:vAlign w:val="center"/>
          </w:tcPr>
          <w:p w14:paraId="3F8AA9DF">
            <w:pPr>
              <w:widowControl/>
              <w:spacing w:line="0" w:lineRule="atLeast"/>
              <w:jc w:val="center"/>
              <w:rPr>
                <w:b/>
                <w:bCs/>
                <w:color w:val="000000"/>
                <w:kern w:val="0"/>
                <w:sz w:val="22"/>
                <w:szCs w:val="22"/>
              </w:rPr>
            </w:pPr>
            <w:r>
              <w:rPr>
                <w:b/>
                <w:bCs/>
                <w:color w:val="000000"/>
                <w:kern w:val="0"/>
                <w:sz w:val="22"/>
                <w:szCs w:val="22"/>
              </w:rPr>
              <w:t>一级指标</w:t>
            </w:r>
          </w:p>
        </w:tc>
        <w:tc>
          <w:tcPr>
            <w:tcW w:w="301" w:type="pct"/>
            <w:shd w:val="clear" w:color="auto" w:fill="FFFFFF"/>
            <w:vAlign w:val="center"/>
          </w:tcPr>
          <w:p w14:paraId="46E01809">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14:paraId="691E75A8">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14:paraId="4DF6A7DD">
            <w:pPr>
              <w:widowControl/>
              <w:spacing w:line="0" w:lineRule="atLeast"/>
              <w:jc w:val="center"/>
              <w:rPr>
                <w:b/>
                <w:bCs/>
                <w:color w:val="000000"/>
                <w:kern w:val="0"/>
                <w:sz w:val="22"/>
                <w:szCs w:val="22"/>
              </w:rPr>
            </w:pPr>
            <w:r>
              <w:rPr>
                <w:b/>
                <w:bCs/>
                <w:color w:val="000000"/>
                <w:kern w:val="0"/>
                <w:sz w:val="22"/>
                <w:szCs w:val="22"/>
              </w:rPr>
              <w:t>指标解释</w:t>
            </w:r>
          </w:p>
        </w:tc>
        <w:tc>
          <w:tcPr>
            <w:tcW w:w="2048" w:type="pct"/>
            <w:shd w:val="clear" w:color="auto" w:fill="FFFFFF"/>
            <w:vAlign w:val="center"/>
          </w:tcPr>
          <w:p w14:paraId="51372FDC">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14:paraId="499781CC">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14:paraId="7946BF8B">
            <w:pPr>
              <w:widowControl/>
              <w:spacing w:line="0" w:lineRule="atLeast"/>
              <w:jc w:val="center"/>
              <w:rPr>
                <w:b/>
                <w:bCs/>
                <w:color w:val="000000"/>
                <w:kern w:val="0"/>
                <w:sz w:val="22"/>
                <w:szCs w:val="22"/>
              </w:rPr>
            </w:pPr>
            <w:r>
              <w:rPr>
                <w:b/>
                <w:bCs/>
                <w:color w:val="000000"/>
                <w:kern w:val="0"/>
                <w:sz w:val="22"/>
                <w:szCs w:val="22"/>
              </w:rPr>
              <w:t>得分</w:t>
            </w:r>
          </w:p>
        </w:tc>
      </w:tr>
      <w:tr w14:paraId="0CEB15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14:paraId="4B2316D6">
            <w:pPr>
              <w:widowControl/>
              <w:spacing w:line="0" w:lineRule="atLeast"/>
              <w:jc w:val="center"/>
              <w:rPr>
                <w:color w:val="000000"/>
                <w:kern w:val="0"/>
                <w:sz w:val="22"/>
                <w:szCs w:val="22"/>
              </w:rPr>
            </w:pPr>
          </w:p>
          <w:p w14:paraId="47D4BD68">
            <w:pPr>
              <w:widowControl/>
              <w:spacing w:line="0" w:lineRule="atLeast"/>
              <w:jc w:val="center"/>
              <w:rPr>
                <w:color w:val="000000"/>
                <w:kern w:val="0"/>
                <w:sz w:val="22"/>
                <w:szCs w:val="22"/>
              </w:rPr>
            </w:pPr>
          </w:p>
          <w:p w14:paraId="7E35948E">
            <w:pPr>
              <w:widowControl/>
              <w:spacing w:line="0" w:lineRule="atLeast"/>
              <w:jc w:val="center"/>
              <w:rPr>
                <w:color w:val="000000"/>
                <w:kern w:val="0"/>
                <w:sz w:val="22"/>
                <w:szCs w:val="22"/>
              </w:rPr>
            </w:pPr>
          </w:p>
          <w:p w14:paraId="6C91D1ED">
            <w:pPr>
              <w:widowControl/>
              <w:spacing w:line="0" w:lineRule="atLeast"/>
              <w:jc w:val="center"/>
              <w:rPr>
                <w:color w:val="000000"/>
                <w:kern w:val="0"/>
                <w:sz w:val="22"/>
                <w:szCs w:val="22"/>
              </w:rPr>
            </w:pPr>
          </w:p>
          <w:p w14:paraId="733F660B">
            <w:pPr>
              <w:widowControl/>
              <w:spacing w:line="0" w:lineRule="atLeast"/>
              <w:jc w:val="center"/>
              <w:rPr>
                <w:color w:val="000000"/>
                <w:kern w:val="0"/>
                <w:sz w:val="22"/>
                <w:szCs w:val="22"/>
              </w:rPr>
            </w:pPr>
          </w:p>
          <w:p w14:paraId="615FDE1A">
            <w:pPr>
              <w:widowControl/>
              <w:spacing w:line="0" w:lineRule="atLeast"/>
              <w:jc w:val="center"/>
              <w:rPr>
                <w:color w:val="000000"/>
                <w:kern w:val="0"/>
                <w:sz w:val="22"/>
                <w:szCs w:val="22"/>
              </w:rPr>
            </w:pPr>
          </w:p>
          <w:p w14:paraId="5A136361">
            <w:pPr>
              <w:widowControl/>
              <w:spacing w:line="0" w:lineRule="atLeast"/>
              <w:jc w:val="center"/>
              <w:rPr>
                <w:color w:val="000000"/>
                <w:kern w:val="0"/>
                <w:sz w:val="22"/>
                <w:szCs w:val="22"/>
              </w:rPr>
            </w:pPr>
            <w:r>
              <w:rPr>
                <w:color w:val="000000"/>
                <w:kern w:val="0"/>
                <w:sz w:val="22"/>
                <w:szCs w:val="22"/>
              </w:rPr>
              <w:t>决策　</w:t>
            </w:r>
          </w:p>
        </w:tc>
        <w:tc>
          <w:tcPr>
            <w:tcW w:w="301" w:type="pct"/>
            <w:vMerge w:val="restart"/>
            <w:shd w:val="clear" w:color="auto" w:fill="FFFFFF"/>
            <w:vAlign w:val="center"/>
          </w:tcPr>
          <w:p w14:paraId="4E82E40F">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14:paraId="7CE25766">
            <w:pPr>
              <w:widowControl/>
              <w:spacing w:line="0" w:lineRule="atLeast"/>
              <w:jc w:val="center"/>
              <w:rPr>
                <w:color w:val="000000"/>
                <w:kern w:val="0"/>
                <w:sz w:val="22"/>
                <w:szCs w:val="22"/>
              </w:rPr>
            </w:pPr>
            <w:r>
              <w:rPr>
                <w:color w:val="000000"/>
                <w:kern w:val="0"/>
                <w:sz w:val="22"/>
                <w:szCs w:val="22"/>
              </w:rPr>
              <w:t>立项依据</w:t>
            </w:r>
          </w:p>
          <w:p w14:paraId="27E18116">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14:paraId="70DA7F40">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238B3F62">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w:t>
            </w:r>
            <w:r>
              <w:rPr>
                <w:color w:val="000000"/>
                <w:kern w:val="0"/>
                <w:sz w:val="22"/>
                <w:szCs w:val="22"/>
                <w:lang w:val="en-US" w:eastAsia="zh-CN"/>
              </w:rPr>
              <w:t>属于部门</w:t>
            </w:r>
            <w:r>
              <w:rPr>
                <w:color w:val="000000"/>
                <w:kern w:val="0"/>
                <w:sz w:val="22"/>
                <w:szCs w:val="22"/>
              </w:rPr>
              <w:t>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512" w:type="pct"/>
            <w:shd w:val="clear" w:color="auto" w:fill="FFFFFF"/>
            <w:vAlign w:val="center"/>
          </w:tcPr>
          <w:p w14:paraId="09665737">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537" w:type="pct"/>
            <w:shd w:val="clear" w:color="auto" w:fill="FFFFFF"/>
            <w:vAlign w:val="center"/>
          </w:tcPr>
          <w:p w14:paraId="3AB44C14">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2BD779E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14:paraId="2C54F2D8">
            <w:pPr>
              <w:spacing w:line="0" w:lineRule="atLeast"/>
              <w:jc w:val="center"/>
              <w:rPr>
                <w:color w:val="000000"/>
                <w:kern w:val="0"/>
                <w:sz w:val="22"/>
                <w:szCs w:val="22"/>
              </w:rPr>
            </w:pPr>
          </w:p>
        </w:tc>
        <w:tc>
          <w:tcPr>
            <w:tcW w:w="301" w:type="pct"/>
            <w:vMerge w:val="continue"/>
            <w:shd w:val="clear" w:color="auto" w:fill="FFFFFF"/>
            <w:vAlign w:val="center"/>
          </w:tcPr>
          <w:p w14:paraId="64BB11F1">
            <w:pPr>
              <w:widowControl/>
              <w:spacing w:line="0" w:lineRule="atLeast"/>
              <w:jc w:val="center"/>
              <w:rPr>
                <w:color w:val="000000"/>
                <w:kern w:val="0"/>
                <w:sz w:val="22"/>
                <w:szCs w:val="22"/>
              </w:rPr>
            </w:pPr>
          </w:p>
        </w:tc>
        <w:tc>
          <w:tcPr>
            <w:tcW w:w="344" w:type="pct"/>
            <w:shd w:val="clear" w:color="auto" w:fill="FFFFFF"/>
            <w:vAlign w:val="center"/>
          </w:tcPr>
          <w:p w14:paraId="626A79D1">
            <w:pPr>
              <w:widowControl/>
              <w:spacing w:line="0" w:lineRule="atLeast"/>
              <w:jc w:val="center"/>
              <w:rPr>
                <w:color w:val="000000"/>
                <w:kern w:val="0"/>
                <w:sz w:val="22"/>
                <w:szCs w:val="22"/>
              </w:rPr>
            </w:pPr>
            <w:r>
              <w:rPr>
                <w:color w:val="000000"/>
                <w:kern w:val="0"/>
                <w:sz w:val="22"/>
                <w:szCs w:val="22"/>
              </w:rPr>
              <w:t>立项程序</w:t>
            </w:r>
          </w:p>
          <w:p w14:paraId="4E83E9EA">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14:paraId="0A8D1D73">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8" w:type="pct"/>
            <w:shd w:val="clear" w:color="auto" w:fill="FFFFFF"/>
            <w:vAlign w:val="center"/>
          </w:tcPr>
          <w:p w14:paraId="2A211DFD">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512" w:type="pct"/>
            <w:shd w:val="clear" w:color="auto" w:fill="FFFFFF"/>
            <w:vAlign w:val="center"/>
          </w:tcPr>
          <w:p w14:paraId="28AA80F2">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537" w:type="pct"/>
            <w:shd w:val="clear" w:color="auto" w:fill="FFFFFF"/>
            <w:vAlign w:val="center"/>
          </w:tcPr>
          <w:p w14:paraId="555AD734">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1F85091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14:paraId="5E68340C">
            <w:pPr>
              <w:spacing w:line="0" w:lineRule="atLeast"/>
              <w:jc w:val="center"/>
              <w:rPr>
                <w:color w:val="000000"/>
                <w:kern w:val="0"/>
                <w:sz w:val="22"/>
                <w:szCs w:val="22"/>
              </w:rPr>
            </w:pPr>
          </w:p>
        </w:tc>
        <w:tc>
          <w:tcPr>
            <w:tcW w:w="301" w:type="pct"/>
            <w:vMerge w:val="restart"/>
            <w:shd w:val="clear" w:color="auto" w:fill="FFFFFF"/>
            <w:vAlign w:val="center"/>
          </w:tcPr>
          <w:p w14:paraId="744CFDF1">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14:paraId="3BAD2944">
            <w:pPr>
              <w:widowControl/>
              <w:spacing w:line="0" w:lineRule="atLeast"/>
              <w:jc w:val="center"/>
              <w:rPr>
                <w:color w:val="000000"/>
                <w:kern w:val="0"/>
                <w:sz w:val="22"/>
                <w:szCs w:val="22"/>
              </w:rPr>
            </w:pPr>
            <w:r>
              <w:rPr>
                <w:color w:val="000000"/>
                <w:kern w:val="0"/>
                <w:sz w:val="22"/>
                <w:szCs w:val="22"/>
              </w:rPr>
              <w:t>绩效目标</w:t>
            </w:r>
          </w:p>
          <w:p w14:paraId="3D955687">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14:paraId="72608C9A">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0D7F0FA4">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14:paraId="169954B4">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14:paraId="33A8E525">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537" w:type="pct"/>
            <w:shd w:val="clear" w:color="000000" w:fill="FFFFFF"/>
            <w:vAlign w:val="center"/>
          </w:tcPr>
          <w:p w14:paraId="17B1B796">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4B0650D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14:paraId="03FD70D0">
            <w:pPr>
              <w:widowControl/>
              <w:spacing w:line="0" w:lineRule="atLeast"/>
              <w:jc w:val="center"/>
              <w:rPr>
                <w:color w:val="000000"/>
                <w:kern w:val="0"/>
                <w:sz w:val="22"/>
                <w:szCs w:val="22"/>
              </w:rPr>
            </w:pPr>
          </w:p>
        </w:tc>
        <w:tc>
          <w:tcPr>
            <w:tcW w:w="301" w:type="pct"/>
            <w:vMerge w:val="continue"/>
            <w:shd w:val="clear" w:color="auto" w:fill="FFFFFF"/>
            <w:vAlign w:val="center"/>
          </w:tcPr>
          <w:p w14:paraId="76D0742E">
            <w:pPr>
              <w:widowControl/>
              <w:spacing w:line="0" w:lineRule="atLeast"/>
              <w:jc w:val="center"/>
              <w:rPr>
                <w:color w:val="000000"/>
                <w:kern w:val="0"/>
                <w:sz w:val="22"/>
                <w:szCs w:val="22"/>
              </w:rPr>
            </w:pPr>
          </w:p>
        </w:tc>
        <w:tc>
          <w:tcPr>
            <w:tcW w:w="344" w:type="pct"/>
            <w:shd w:val="clear" w:color="auto" w:fill="FFFFFF"/>
            <w:vAlign w:val="center"/>
          </w:tcPr>
          <w:p w14:paraId="20F69F46">
            <w:pPr>
              <w:widowControl/>
              <w:spacing w:line="0" w:lineRule="atLeast"/>
              <w:jc w:val="center"/>
              <w:rPr>
                <w:color w:val="000000"/>
                <w:kern w:val="0"/>
                <w:sz w:val="22"/>
                <w:szCs w:val="22"/>
              </w:rPr>
            </w:pPr>
            <w:r>
              <w:rPr>
                <w:color w:val="000000"/>
                <w:kern w:val="0"/>
                <w:sz w:val="22"/>
                <w:szCs w:val="22"/>
              </w:rPr>
              <w:t>绩效指标</w:t>
            </w:r>
          </w:p>
          <w:p w14:paraId="5A2E83D5">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14:paraId="37AE1A7C">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14:paraId="08E95749">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512" w:type="pct"/>
            <w:shd w:val="clear" w:color="000000" w:fill="FFFFFF"/>
            <w:vAlign w:val="center"/>
          </w:tcPr>
          <w:p w14:paraId="71A4B73A">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537" w:type="pct"/>
            <w:shd w:val="clear" w:color="000000" w:fill="FFFFFF"/>
            <w:vAlign w:val="center"/>
          </w:tcPr>
          <w:p w14:paraId="172BC293">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377A89B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14:paraId="2C1A56D3">
            <w:pPr>
              <w:spacing w:line="0" w:lineRule="atLeast"/>
              <w:jc w:val="center"/>
              <w:rPr>
                <w:color w:val="000000"/>
                <w:kern w:val="0"/>
                <w:sz w:val="22"/>
                <w:szCs w:val="22"/>
              </w:rPr>
            </w:pPr>
          </w:p>
        </w:tc>
        <w:tc>
          <w:tcPr>
            <w:tcW w:w="301" w:type="pct"/>
            <w:vMerge w:val="restart"/>
            <w:shd w:val="clear" w:color="auto" w:fill="FFFFFF"/>
            <w:vAlign w:val="center"/>
          </w:tcPr>
          <w:p w14:paraId="02760F08">
            <w:pPr>
              <w:widowControl/>
              <w:spacing w:line="0" w:lineRule="atLeast"/>
              <w:jc w:val="center"/>
              <w:rPr>
                <w:color w:val="000000"/>
                <w:kern w:val="0"/>
                <w:sz w:val="22"/>
                <w:szCs w:val="22"/>
              </w:rPr>
            </w:pPr>
            <w:r>
              <w:rPr>
                <w:color w:val="000000"/>
                <w:kern w:val="0"/>
                <w:sz w:val="22"/>
                <w:szCs w:val="22"/>
              </w:rPr>
              <w:t>资金投入</w:t>
            </w:r>
          </w:p>
          <w:p w14:paraId="1AF739D5">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14:paraId="4F66CDD8">
            <w:pPr>
              <w:widowControl/>
              <w:spacing w:line="0" w:lineRule="atLeast"/>
              <w:jc w:val="center"/>
              <w:rPr>
                <w:color w:val="000000"/>
                <w:kern w:val="0"/>
                <w:sz w:val="22"/>
                <w:szCs w:val="22"/>
              </w:rPr>
            </w:pPr>
            <w:r>
              <w:rPr>
                <w:color w:val="000000"/>
                <w:kern w:val="0"/>
                <w:sz w:val="22"/>
                <w:szCs w:val="22"/>
              </w:rPr>
              <w:t>预算编制</w:t>
            </w:r>
          </w:p>
          <w:p w14:paraId="12EEFBD0">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14:paraId="1CCBA9C9">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4EAD7C0B">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512" w:type="pct"/>
            <w:shd w:val="clear" w:color="auto" w:fill="FFFFFF"/>
            <w:vAlign w:val="center"/>
          </w:tcPr>
          <w:p w14:paraId="72A28987">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auto" w:fill="FFFFFF"/>
            <w:vAlign w:val="center"/>
          </w:tcPr>
          <w:p w14:paraId="74046983">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7AB152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14:paraId="162CDD84">
            <w:pPr>
              <w:widowControl/>
              <w:spacing w:line="0" w:lineRule="atLeast"/>
              <w:jc w:val="center"/>
              <w:rPr>
                <w:color w:val="000000"/>
                <w:kern w:val="0"/>
                <w:sz w:val="22"/>
                <w:szCs w:val="22"/>
              </w:rPr>
            </w:pPr>
          </w:p>
        </w:tc>
        <w:tc>
          <w:tcPr>
            <w:tcW w:w="301" w:type="pct"/>
            <w:vMerge w:val="continue"/>
            <w:shd w:val="clear" w:color="auto" w:fill="FFFFFF"/>
            <w:vAlign w:val="center"/>
          </w:tcPr>
          <w:p w14:paraId="2EF3A4EE">
            <w:pPr>
              <w:widowControl/>
              <w:spacing w:line="0" w:lineRule="atLeast"/>
              <w:jc w:val="center"/>
              <w:rPr>
                <w:color w:val="000000"/>
                <w:kern w:val="0"/>
                <w:sz w:val="22"/>
                <w:szCs w:val="22"/>
              </w:rPr>
            </w:pPr>
          </w:p>
        </w:tc>
        <w:tc>
          <w:tcPr>
            <w:tcW w:w="344" w:type="pct"/>
            <w:shd w:val="clear" w:color="auto" w:fill="FFFFFF"/>
            <w:vAlign w:val="center"/>
          </w:tcPr>
          <w:p w14:paraId="59493A51">
            <w:pPr>
              <w:widowControl/>
              <w:spacing w:line="0" w:lineRule="atLeast"/>
              <w:jc w:val="center"/>
              <w:rPr>
                <w:color w:val="000000"/>
                <w:kern w:val="0"/>
                <w:sz w:val="22"/>
                <w:szCs w:val="22"/>
              </w:rPr>
            </w:pPr>
            <w:r>
              <w:rPr>
                <w:color w:val="000000"/>
                <w:kern w:val="0"/>
                <w:sz w:val="22"/>
                <w:szCs w:val="22"/>
              </w:rPr>
              <w:t>资金分配</w:t>
            </w:r>
          </w:p>
          <w:p w14:paraId="00315BE7">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14:paraId="366C1A83">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7A3D13D1">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512" w:type="pct"/>
            <w:shd w:val="clear" w:color="auto" w:fill="FFFFFF"/>
            <w:vAlign w:val="center"/>
          </w:tcPr>
          <w:p w14:paraId="117CBDE0">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auto" w:fill="FFFFFF"/>
            <w:vAlign w:val="center"/>
          </w:tcPr>
          <w:p w14:paraId="1BA506CE">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4BEADAA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14:paraId="268F0017">
            <w:pPr>
              <w:spacing w:line="0" w:lineRule="atLeast"/>
              <w:jc w:val="center"/>
              <w:rPr>
                <w:color w:val="000000"/>
                <w:kern w:val="0"/>
                <w:sz w:val="22"/>
                <w:szCs w:val="22"/>
              </w:rPr>
            </w:pPr>
          </w:p>
          <w:p w14:paraId="03FB191F">
            <w:pPr>
              <w:spacing w:line="0" w:lineRule="atLeast"/>
              <w:jc w:val="center"/>
              <w:rPr>
                <w:color w:val="000000"/>
                <w:kern w:val="0"/>
                <w:sz w:val="22"/>
                <w:szCs w:val="22"/>
              </w:rPr>
            </w:pPr>
          </w:p>
          <w:p w14:paraId="3F873F35">
            <w:pPr>
              <w:spacing w:line="0" w:lineRule="atLeast"/>
              <w:jc w:val="center"/>
              <w:rPr>
                <w:color w:val="000000"/>
                <w:kern w:val="0"/>
                <w:sz w:val="22"/>
                <w:szCs w:val="22"/>
              </w:rPr>
            </w:pPr>
          </w:p>
          <w:p w14:paraId="31E491FA">
            <w:pPr>
              <w:spacing w:line="0" w:lineRule="atLeast"/>
              <w:jc w:val="center"/>
              <w:rPr>
                <w:color w:val="000000"/>
                <w:kern w:val="0"/>
                <w:sz w:val="22"/>
                <w:szCs w:val="22"/>
              </w:rPr>
            </w:pPr>
          </w:p>
          <w:p w14:paraId="52659B5F">
            <w:pPr>
              <w:spacing w:line="0" w:lineRule="atLeast"/>
              <w:jc w:val="center"/>
              <w:rPr>
                <w:color w:val="000000"/>
                <w:kern w:val="0"/>
                <w:sz w:val="22"/>
                <w:szCs w:val="22"/>
              </w:rPr>
            </w:pPr>
          </w:p>
          <w:p w14:paraId="3B34A663">
            <w:pPr>
              <w:spacing w:line="0" w:lineRule="atLeast"/>
              <w:jc w:val="center"/>
              <w:rPr>
                <w:color w:val="000000"/>
                <w:kern w:val="0"/>
                <w:sz w:val="22"/>
                <w:szCs w:val="22"/>
              </w:rPr>
            </w:pPr>
          </w:p>
          <w:p w14:paraId="6A0BB123">
            <w:pPr>
              <w:spacing w:line="0" w:lineRule="atLeast"/>
              <w:jc w:val="center"/>
              <w:rPr>
                <w:color w:val="000000"/>
                <w:kern w:val="0"/>
                <w:sz w:val="22"/>
                <w:szCs w:val="22"/>
              </w:rPr>
            </w:pPr>
          </w:p>
          <w:p w14:paraId="711DE43E">
            <w:pPr>
              <w:spacing w:line="0" w:lineRule="atLeast"/>
              <w:jc w:val="center"/>
              <w:rPr>
                <w:color w:val="000000"/>
                <w:kern w:val="0"/>
                <w:sz w:val="22"/>
                <w:szCs w:val="22"/>
              </w:rPr>
            </w:pPr>
          </w:p>
          <w:p w14:paraId="4BBACC28">
            <w:pPr>
              <w:spacing w:line="0" w:lineRule="atLeast"/>
              <w:jc w:val="center"/>
              <w:rPr>
                <w:color w:val="000000"/>
                <w:kern w:val="0"/>
                <w:sz w:val="22"/>
                <w:szCs w:val="22"/>
              </w:rPr>
            </w:pPr>
          </w:p>
          <w:p w14:paraId="777DE9ED">
            <w:pPr>
              <w:spacing w:line="0" w:lineRule="atLeast"/>
              <w:jc w:val="center"/>
              <w:rPr>
                <w:color w:val="000000"/>
                <w:kern w:val="0"/>
                <w:sz w:val="22"/>
                <w:szCs w:val="22"/>
              </w:rPr>
            </w:pPr>
          </w:p>
          <w:p w14:paraId="4E8C9EB3">
            <w:pPr>
              <w:spacing w:line="0" w:lineRule="atLeast"/>
              <w:jc w:val="center"/>
              <w:rPr>
                <w:color w:val="000000"/>
                <w:kern w:val="0"/>
                <w:sz w:val="22"/>
                <w:szCs w:val="22"/>
              </w:rPr>
            </w:pPr>
          </w:p>
          <w:p w14:paraId="03D45416">
            <w:pPr>
              <w:spacing w:line="0" w:lineRule="atLeast"/>
              <w:jc w:val="center"/>
              <w:rPr>
                <w:color w:val="000000"/>
                <w:kern w:val="0"/>
                <w:sz w:val="22"/>
                <w:szCs w:val="22"/>
              </w:rPr>
            </w:pPr>
          </w:p>
          <w:p w14:paraId="59BB62D5">
            <w:pPr>
              <w:spacing w:line="0" w:lineRule="atLeast"/>
              <w:jc w:val="center"/>
              <w:rPr>
                <w:color w:val="000000"/>
                <w:kern w:val="0"/>
                <w:sz w:val="22"/>
                <w:szCs w:val="22"/>
              </w:rPr>
            </w:pPr>
          </w:p>
          <w:p w14:paraId="4120A54A">
            <w:pPr>
              <w:spacing w:line="0" w:lineRule="atLeast"/>
              <w:jc w:val="center"/>
              <w:rPr>
                <w:color w:val="000000"/>
                <w:kern w:val="0"/>
                <w:sz w:val="22"/>
                <w:szCs w:val="22"/>
              </w:rPr>
            </w:pPr>
          </w:p>
          <w:p w14:paraId="1E3EB727">
            <w:pPr>
              <w:spacing w:line="0" w:lineRule="atLeast"/>
              <w:jc w:val="center"/>
              <w:rPr>
                <w:color w:val="000000"/>
                <w:kern w:val="0"/>
                <w:sz w:val="22"/>
                <w:szCs w:val="22"/>
              </w:rPr>
            </w:pPr>
          </w:p>
          <w:p w14:paraId="50578D80">
            <w:pPr>
              <w:spacing w:line="0" w:lineRule="atLeast"/>
              <w:jc w:val="center"/>
              <w:rPr>
                <w:color w:val="000000"/>
                <w:kern w:val="0"/>
                <w:sz w:val="22"/>
                <w:szCs w:val="22"/>
              </w:rPr>
            </w:pPr>
            <w:r>
              <w:rPr>
                <w:color w:val="000000"/>
                <w:kern w:val="0"/>
                <w:sz w:val="22"/>
                <w:szCs w:val="22"/>
              </w:rPr>
              <w:t>过程</w:t>
            </w:r>
          </w:p>
          <w:p w14:paraId="6E99BDA5">
            <w:pPr>
              <w:widowControl/>
              <w:spacing w:line="0" w:lineRule="atLeast"/>
              <w:jc w:val="center"/>
              <w:rPr>
                <w:color w:val="000000"/>
                <w:kern w:val="0"/>
                <w:sz w:val="22"/>
                <w:szCs w:val="22"/>
              </w:rPr>
            </w:pPr>
            <w:r>
              <w:rPr>
                <w:color w:val="000000"/>
                <w:kern w:val="0"/>
                <w:sz w:val="22"/>
                <w:szCs w:val="22"/>
              </w:rPr>
              <w:t>　　</w:t>
            </w:r>
          </w:p>
        </w:tc>
        <w:tc>
          <w:tcPr>
            <w:tcW w:w="301" w:type="pct"/>
            <w:vMerge w:val="restart"/>
            <w:shd w:val="clear" w:color="auto" w:fill="FFFFFF"/>
            <w:vAlign w:val="center"/>
          </w:tcPr>
          <w:p w14:paraId="1FFCE587">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42A7CB29">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14:paraId="1C35A10C">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41252E04">
            <w:pPr>
              <w:widowControl/>
              <w:spacing w:line="0" w:lineRule="atLeast"/>
              <w:rPr>
                <w:color w:val="000000"/>
                <w:kern w:val="0"/>
                <w:sz w:val="22"/>
                <w:szCs w:val="22"/>
              </w:rPr>
            </w:pPr>
            <w:r>
              <w:rPr>
                <w:color w:val="000000"/>
                <w:kern w:val="0"/>
                <w:sz w:val="22"/>
                <w:szCs w:val="22"/>
              </w:rPr>
              <w:t>资金到位率=（实际到位资金/预算资金）×100%。</w:t>
            </w:r>
          </w:p>
          <w:p w14:paraId="28577F2C">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7B2CF41E">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14:paraId="268DF9C0">
            <w:pPr>
              <w:widowControl/>
              <w:spacing w:line="0" w:lineRule="atLeast"/>
              <w:jc w:val="center"/>
              <w:rPr>
                <w:b/>
                <w:bCs/>
                <w:color w:val="auto"/>
                <w:kern w:val="0"/>
                <w:sz w:val="22"/>
                <w:szCs w:val="22"/>
              </w:rPr>
            </w:pPr>
            <w:r>
              <w:rPr>
                <w:b/>
                <w:bCs/>
                <w:color w:val="auto"/>
                <w:kern w:val="0"/>
                <w:sz w:val="22"/>
                <w:szCs w:val="22"/>
              </w:rPr>
              <w:t>4</w:t>
            </w:r>
          </w:p>
        </w:tc>
        <w:tc>
          <w:tcPr>
            <w:tcW w:w="537" w:type="pct"/>
            <w:shd w:val="clear" w:color="000000" w:fill="FFFFFF"/>
            <w:vAlign w:val="center"/>
          </w:tcPr>
          <w:p w14:paraId="1A432102">
            <w:pPr>
              <w:widowControl/>
              <w:spacing w:line="0" w:lineRule="atLeast"/>
              <w:jc w:val="center"/>
              <w:rPr>
                <w:rFonts w:hint="default" w:eastAsia="宋体"/>
                <w:b/>
                <w:bCs/>
                <w:color w:val="auto"/>
                <w:kern w:val="0"/>
                <w:sz w:val="22"/>
                <w:szCs w:val="22"/>
                <w:lang w:val="en-US" w:eastAsia="zh-CN"/>
              </w:rPr>
            </w:pPr>
            <w:r>
              <w:rPr>
                <w:rFonts w:hint="eastAsia"/>
                <w:b/>
                <w:bCs/>
                <w:color w:val="auto"/>
                <w:kern w:val="0"/>
                <w:sz w:val="22"/>
                <w:szCs w:val="22"/>
                <w:lang w:val="en-US" w:eastAsia="zh-CN"/>
              </w:rPr>
              <w:t>4</w:t>
            </w:r>
          </w:p>
        </w:tc>
      </w:tr>
      <w:tr w14:paraId="4928C4D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14:paraId="46BC31E3">
            <w:pPr>
              <w:spacing w:line="0" w:lineRule="atLeast"/>
              <w:jc w:val="center"/>
              <w:rPr>
                <w:color w:val="000000"/>
                <w:kern w:val="0"/>
                <w:sz w:val="22"/>
                <w:szCs w:val="22"/>
              </w:rPr>
            </w:pPr>
          </w:p>
        </w:tc>
        <w:tc>
          <w:tcPr>
            <w:tcW w:w="301" w:type="pct"/>
            <w:vMerge w:val="continue"/>
            <w:shd w:val="clear" w:color="auto" w:fill="FFFFFF"/>
            <w:vAlign w:val="center"/>
          </w:tcPr>
          <w:p w14:paraId="3B8231BD">
            <w:pPr>
              <w:spacing w:line="0" w:lineRule="atLeast"/>
              <w:jc w:val="center"/>
              <w:rPr>
                <w:color w:val="000000"/>
                <w:kern w:val="0"/>
                <w:sz w:val="22"/>
                <w:szCs w:val="22"/>
              </w:rPr>
            </w:pPr>
          </w:p>
        </w:tc>
        <w:tc>
          <w:tcPr>
            <w:tcW w:w="344" w:type="pct"/>
            <w:shd w:val="clear" w:color="auto" w:fill="FFFFFF"/>
            <w:vAlign w:val="center"/>
          </w:tcPr>
          <w:p w14:paraId="3901546E">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14:paraId="204F569C">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8" w:type="pct"/>
            <w:shd w:val="clear" w:color="auto" w:fill="FFFFFF"/>
            <w:vAlign w:val="center"/>
          </w:tcPr>
          <w:p w14:paraId="2A7F6C1D">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512" w:type="pct"/>
            <w:shd w:val="clear" w:color="auto" w:fill="FFFFFF"/>
            <w:vAlign w:val="center"/>
          </w:tcPr>
          <w:p w14:paraId="7C03E67E">
            <w:pPr>
              <w:widowControl/>
              <w:spacing w:line="0" w:lineRule="atLeast"/>
              <w:jc w:val="center"/>
              <w:rPr>
                <w:b/>
                <w:bCs/>
                <w:color w:val="auto"/>
                <w:kern w:val="0"/>
                <w:sz w:val="22"/>
                <w:szCs w:val="22"/>
              </w:rPr>
            </w:pPr>
            <w:r>
              <w:rPr>
                <w:b/>
                <w:bCs/>
                <w:color w:val="auto"/>
                <w:kern w:val="0"/>
                <w:sz w:val="22"/>
                <w:szCs w:val="22"/>
              </w:rPr>
              <w:t>4</w:t>
            </w:r>
          </w:p>
        </w:tc>
        <w:tc>
          <w:tcPr>
            <w:tcW w:w="537" w:type="pct"/>
            <w:shd w:val="clear" w:color="auto" w:fill="FFFFFF"/>
            <w:vAlign w:val="center"/>
          </w:tcPr>
          <w:p w14:paraId="39C39FCE">
            <w:pPr>
              <w:widowControl/>
              <w:spacing w:line="0" w:lineRule="atLeast"/>
              <w:jc w:val="center"/>
              <w:rPr>
                <w:rFonts w:hint="default" w:eastAsia="宋体"/>
                <w:b/>
                <w:bCs/>
                <w:color w:val="auto"/>
                <w:kern w:val="0"/>
                <w:sz w:val="22"/>
                <w:szCs w:val="22"/>
                <w:lang w:val="en-US" w:eastAsia="zh-CN"/>
              </w:rPr>
            </w:pPr>
            <w:r>
              <w:rPr>
                <w:rFonts w:hint="eastAsia"/>
                <w:b/>
                <w:bCs/>
                <w:color w:val="auto"/>
                <w:kern w:val="0"/>
                <w:sz w:val="22"/>
                <w:szCs w:val="22"/>
                <w:lang w:val="en-US" w:eastAsia="zh-CN"/>
              </w:rPr>
              <w:t>1.29</w:t>
            </w:r>
          </w:p>
        </w:tc>
      </w:tr>
      <w:tr w14:paraId="2469C61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14:paraId="1CC45B95">
            <w:pPr>
              <w:spacing w:line="0" w:lineRule="atLeast"/>
              <w:jc w:val="center"/>
              <w:rPr>
                <w:color w:val="000000"/>
                <w:kern w:val="0"/>
                <w:sz w:val="22"/>
                <w:szCs w:val="22"/>
              </w:rPr>
            </w:pPr>
          </w:p>
        </w:tc>
        <w:tc>
          <w:tcPr>
            <w:tcW w:w="301" w:type="pct"/>
            <w:shd w:val="clear" w:color="auto" w:fill="FFFFFF"/>
            <w:vAlign w:val="center"/>
          </w:tcPr>
          <w:p w14:paraId="7FE5A9F3">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7FC28FC2">
            <w:pPr>
              <w:widowControl/>
              <w:spacing w:line="0" w:lineRule="atLeast"/>
              <w:jc w:val="center"/>
              <w:rPr>
                <w:color w:val="000000"/>
                <w:kern w:val="0"/>
                <w:sz w:val="22"/>
                <w:szCs w:val="22"/>
              </w:rPr>
            </w:pPr>
            <w:r>
              <w:rPr>
                <w:color w:val="000000"/>
                <w:kern w:val="0"/>
                <w:sz w:val="22"/>
                <w:szCs w:val="22"/>
              </w:rPr>
              <w:t>资金使用</w:t>
            </w:r>
          </w:p>
          <w:p w14:paraId="4C63B558">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14:paraId="3C34F0ED">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0362FADD">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512" w:type="pct"/>
            <w:shd w:val="clear" w:color="000000" w:fill="FFFFFF"/>
            <w:vAlign w:val="center"/>
          </w:tcPr>
          <w:p w14:paraId="2D2C74C8">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000000" w:fill="FFFFFF"/>
            <w:vAlign w:val="center"/>
          </w:tcPr>
          <w:p w14:paraId="08144F63">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79AB043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14:paraId="0F3F677D">
            <w:pPr>
              <w:spacing w:line="0" w:lineRule="atLeast"/>
              <w:jc w:val="center"/>
              <w:rPr>
                <w:color w:val="000000"/>
                <w:kern w:val="0"/>
                <w:sz w:val="22"/>
                <w:szCs w:val="22"/>
              </w:rPr>
            </w:pPr>
          </w:p>
        </w:tc>
        <w:tc>
          <w:tcPr>
            <w:tcW w:w="301" w:type="pct"/>
            <w:vMerge w:val="restart"/>
            <w:shd w:val="clear" w:color="auto" w:fill="FFFFFF"/>
            <w:vAlign w:val="center"/>
          </w:tcPr>
          <w:p w14:paraId="1ACEC0E5">
            <w:pPr>
              <w:widowControl/>
              <w:spacing w:line="0" w:lineRule="atLeast"/>
              <w:jc w:val="center"/>
              <w:rPr>
                <w:color w:val="000000"/>
                <w:kern w:val="0"/>
                <w:sz w:val="22"/>
                <w:szCs w:val="22"/>
              </w:rPr>
            </w:pPr>
            <w:r>
              <w:rPr>
                <w:color w:val="000000"/>
                <w:kern w:val="0"/>
                <w:sz w:val="22"/>
                <w:szCs w:val="22"/>
              </w:rPr>
              <w:t>组织实施</w:t>
            </w:r>
          </w:p>
          <w:p w14:paraId="79674E08">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14:paraId="34F5B47D">
            <w:pPr>
              <w:widowControl/>
              <w:spacing w:line="0" w:lineRule="atLeast"/>
              <w:jc w:val="center"/>
              <w:rPr>
                <w:color w:val="000000"/>
                <w:kern w:val="0"/>
                <w:sz w:val="22"/>
                <w:szCs w:val="22"/>
              </w:rPr>
            </w:pPr>
            <w:r>
              <w:rPr>
                <w:color w:val="000000"/>
                <w:kern w:val="0"/>
                <w:sz w:val="22"/>
                <w:szCs w:val="22"/>
              </w:rPr>
              <w:t>管理制度</w:t>
            </w:r>
          </w:p>
          <w:p w14:paraId="183C43B2">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14:paraId="3A3D5607">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225B6FE3">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512" w:type="pct"/>
            <w:shd w:val="clear" w:color="000000" w:fill="FFFFFF"/>
            <w:vAlign w:val="center"/>
          </w:tcPr>
          <w:p w14:paraId="701C6DF2">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000000" w:fill="FFFFFF"/>
            <w:vAlign w:val="center"/>
          </w:tcPr>
          <w:p w14:paraId="3A04C711">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59671E6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14:paraId="6F9335B0">
            <w:pPr>
              <w:widowControl/>
              <w:spacing w:line="0" w:lineRule="atLeast"/>
              <w:jc w:val="center"/>
              <w:rPr>
                <w:color w:val="000000"/>
                <w:kern w:val="0"/>
                <w:sz w:val="22"/>
                <w:szCs w:val="22"/>
              </w:rPr>
            </w:pPr>
          </w:p>
        </w:tc>
        <w:tc>
          <w:tcPr>
            <w:tcW w:w="301" w:type="pct"/>
            <w:vMerge w:val="continue"/>
            <w:shd w:val="clear" w:color="auto" w:fill="FFFFFF"/>
            <w:vAlign w:val="center"/>
          </w:tcPr>
          <w:p w14:paraId="6E2F013A">
            <w:pPr>
              <w:widowControl/>
              <w:spacing w:line="0" w:lineRule="atLeast"/>
              <w:jc w:val="center"/>
              <w:rPr>
                <w:color w:val="000000"/>
                <w:kern w:val="0"/>
                <w:sz w:val="22"/>
                <w:szCs w:val="22"/>
              </w:rPr>
            </w:pPr>
          </w:p>
        </w:tc>
        <w:tc>
          <w:tcPr>
            <w:tcW w:w="344" w:type="pct"/>
            <w:shd w:val="clear" w:color="auto" w:fill="FFFFFF"/>
            <w:vAlign w:val="center"/>
          </w:tcPr>
          <w:p w14:paraId="503298EB">
            <w:pPr>
              <w:widowControl/>
              <w:spacing w:line="0" w:lineRule="atLeast"/>
              <w:jc w:val="center"/>
              <w:rPr>
                <w:color w:val="000000"/>
                <w:kern w:val="0"/>
                <w:sz w:val="22"/>
                <w:szCs w:val="22"/>
              </w:rPr>
            </w:pPr>
            <w:r>
              <w:rPr>
                <w:color w:val="000000"/>
                <w:kern w:val="0"/>
                <w:sz w:val="22"/>
                <w:szCs w:val="22"/>
              </w:rPr>
              <w:t>制度执行</w:t>
            </w:r>
          </w:p>
          <w:p w14:paraId="7CE82CE7">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14:paraId="1F930D02">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8" w:type="pct"/>
            <w:shd w:val="clear" w:color="000000" w:fill="FFFFFF"/>
            <w:vAlign w:val="center"/>
          </w:tcPr>
          <w:p w14:paraId="0A65CE01">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512" w:type="pct"/>
            <w:shd w:val="clear" w:color="000000" w:fill="FFFFFF"/>
            <w:vAlign w:val="center"/>
          </w:tcPr>
          <w:p w14:paraId="1328E18A">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000000" w:fill="FFFFFF"/>
            <w:vAlign w:val="center"/>
          </w:tcPr>
          <w:p w14:paraId="730E6220">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6893A7E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14:paraId="531A4BF0">
            <w:pPr>
              <w:widowControl/>
              <w:spacing w:line="0" w:lineRule="atLeast"/>
              <w:jc w:val="center"/>
              <w:rPr>
                <w:color w:val="000000"/>
                <w:kern w:val="0"/>
                <w:sz w:val="22"/>
                <w:szCs w:val="22"/>
              </w:rPr>
            </w:pPr>
            <w:r>
              <w:rPr>
                <w:color w:val="000000"/>
                <w:kern w:val="0"/>
                <w:sz w:val="22"/>
                <w:szCs w:val="22"/>
              </w:rPr>
              <w:t>产出</w:t>
            </w:r>
          </w:p>
        </w:tc>
        <w:tc>
          <w:tcPr>
            <w:tcW w:w="301" w:type="pct"/>
            <w:shd w:val="clear" w:color="auto" w:fill="FFFFFF"/>
            <w:vAlign w:val="center"/>
          </w:tcPr>
          <w:p w14:paraId="4307F576">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14:paraId="3D010B27">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14:paraId="05948964">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7AAE273E">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4EB8A7FA">
            <w:pPr>
              <w:widowControl/>
              <w:spacing w:line="0" w:lineRule="atLeast"/>
              <w:jc w:val="center"/>
              <w:rPr>
                <w:b/>
                <w:bCs/>
                <w:color w:val="auto"/>
                <w:kern w:val="0"/>
                <w:sz w:val="22"/>
                <w:szCs w:val="22"/>
              </w:rPr>
            </w:pPr>
            <w:r>
              <w:rPr>
                <w:b/>
                <w:bCs/>
                <w:color w:val="auto"/>
                <w:kern w:val="0"/>
                <w:sz w:val="22"/>
                <w:szCs w:val="22"/>
              </w:rPr>
              <w:t>10</w:t>
            </w:r>
          </w:p>
        </w:tc>
        <w:tc>
          <w:tcPr>
            <w:tcW w:w="537" w:type="pct"/>
            <w:shd w:val="clear" w:color="000000" w:fill="FFFFFF"/>
            <w:vAlign w:val="center"/>
          </w:tcPr>
          <w:p w14:paraId="78DD50FC">
            <w:pPr>
              <w:widowControl/>
              <w:spacing w:line="0" w:lineRule="atLeast"/>
              <w:jc w:val="center"/>
              <w:rPr>
                <w:rFonts w:hint="default" w:eastAsia="宋体"/>
                <w:b/>
                <w:bCs/>
                <w:color w:val="auto"/>
                <w:kern w:val="0"/>
                <w:sz w:val="22"/>
                <w:szCs w:val="22"/>
                <w:lang w:val="en-US" w:eastAsia="zh-CN"/>
              </w:rPr>
            </w:pPr>
            <w:r>
              <w:rPr>
                <w:rFonts w:hint="eastAsia"/>
                <w:b/>
                <w:bCs/>
                <w:color w:val="auto"/>
                <w:kern w:val="0"/>
                <w:sz w:val="22"/>
                <w:szCs w:val="22"/>
                <w:lang w:val="en-US" w:eastAsia="zh-CN"/>
              </w:rPr>
              <w:t>10</w:t>
            </w:r>
          </w:p>
        </w:tc>
      </w:tr>
      <w:tr w14:paraId="3D8B51B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14:paraId="55AC14AC">
            <w:pPr>
              <w:widowControl/>
              <w:spacing w:line="0" w:lineRule="atLeast"/>
              <w:jc w:val="center"/>
              <w:rPr>
                <w:color w:val="000000"/>
                <w:kern w:val="0"/>
                <w:sz w:val="22"/>
                <w:szCs w:val="22"/>
              </w:rPr>
            </w:pPr>
          </w:p>
        </w:tc>
        <w:tc>
          <w:tcPr>
            <w:tcW w:w="301" w:type="pct"/>
            <w:shd w:val="clear" w:color="auto" w:fill="FFFFFF"/>
            <w:vAlign w:val="center"/>
          </w:tcPr>
          <w:p w14:paraId="3FCEAE37">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14:paraId="382DD29C">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14:paraId="0B208B89">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5BC0B3BD">
            <w:pPr>
              <w:widowControl/>
              <w:spacing w:line="0" w:lineRule="atLeast"/>
              <w:rPr>
                <w:color w:val="000000"/>
                <w:kern w:val="0"/>
                <w:sz w:val="22"/>
                <w:szCs w:val="22"/>
              </w:rPr>
            </w:pPr>
            <w:r>
              <w:rPr>
                <w:color w:val="000000"/>
                <w:kern w:val="0"/>
                <w:sz w:val="22"/>
                <w:szCs w:val="22"/>
              </w:rPr>
              <w:t>质量达标率=（质量达标产出数/实际产出数）×100%。</w:t>
            </w:r>
          </w:p>
          <w:p w14:paraId="04905D6E">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308C5485">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0E8DA6A1">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highlight w:val="none"/>
                <w:lang w:val="en-US" w:eastAsia="zh-CN"/>
              </w:rPr>
              <w:t>10</w:t>
            </w:r>
          </w:p>
        </w:tc>
      </w:tr>
      <w:tr w14:paraId="5C41FF3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14:paraId="30D5C915">
            <w:pPr>
              <w:spacing w:line="0" w:lineRule="atLeast"/>
              <w:jc w:val="center"/>
              <w:rPr>
                <w:color w:val="000000"/>
                <w:kern w:val="0"/>
                <w:sz w:val="22"/>
                <w:szCs w:val="22"/>
              </w:rPr>
            </w:pPr>
          </w:p>
        </w:tc>
        <w:tc>
          <w:tcPr>
            <w:tcW w:w="301" w:type="pct"/>
            <w:shd w:val="clear" w:color="auto" w:fill="FFFFFF"/>
            <w:vAlign w:val="center"/>
          </w:tcPr>
          <w:p w14:paraId="3A1CD173">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14:paraId="15C350AA">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14:paraId="0CCB038C">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8" w:type="pct"/>
            <w:shd w:val="clear" w:color="000000" w:fill="FFFFFF"/>
            <w:vAlign w:val="center"/>
          </w:tcPr>
          <w:p w14:paraId="1F0A536E">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512" w:type="pct"/>
            <w:shd w:val="clear" w:color="000000" w:fill="FFFFFF"/>
            <w:vAlign w:val="center"/>
          </w:tcPr>
          <w:p w14:paraId="0BB6D590">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15C1CBFE">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10</w:t>
            </w:r>
          </w:p>
        </w:tc>
      </w:tr>
      <w:tr w14:paraId="538094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14:paraId="2A782283">
            <w:pPr>
              <w:widowControl/>
              <w:spacing w:line="0" w:lineRule="atLeast"/>
              <w:jc w:val="center"/>
              <w:rPr>
                <w:color w:val="000000"/>
                <w:kern w:val="0"/>
                <w:sz w:val="22"/>
                <w:szCs w:val="22"/>
              </w:rPr>
            </w:pPr>
          </w:p>
        </w:tc>
        <w:tc>
          <w:tcPr>
            <w:tcW w:w="301" w:type="pct"/>
            <w:shd w:val="clear" w:color="auto" w:fill="FFFFFF"/>
            <w:vAlign w:val="center"/>
          </w:tcPr>
          <w:p w14:paraId="485902F6">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14:paraId="72A133F3">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14:paraId="2C05F859">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336F46F3">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14:paraId="6A2AE3E6">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1930E112">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10</w:t>
            </w:r>
          </w:p>
        </w:tc>
      </w:tr>
      <w:tr w14:paraId="7C298B0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14:paraId="0BBF90F7">
            <w:pPr>
              <w:widowControl/>
              <w:spacing w:line="0" w:lineRule="atLeast"/>
              <w:jc w:val="center"/>
              <w:rPr>
                <w:color w:val="000000"/>
                <w:kern w:val="0"/>
                <w:sz w:val="22"/>
                <w:szCs w:val="22"/>
              </w:rPr>
            </w:pPr>
            <w:r>
              <w:rPr>
                <w:color w:val="000000"/>
                <w:kern w:val="0"/>
                <w:sz w:val="22"/>
                <w:szCs w:val="22"/>
              </w:rPr>
              <w:t>效益　</w:t>
            </w:r>
          </w:p>
        </w:tc>
        <w:tc>
          <w:tcPr>
            <w:tcW w:w="301" w:type="pct"/>
            <w:vMerge w:val="restart"/>
            <w:shd w:val="clear" w:color="auto" w:fill="FFFFFF"/>
            <w:vAlign w:val="center"/>
          </w:tcPr>
          <w:p w14:paraId="4918F167">
            <w:pPr>
              <w:widowControl/>
              <w:spacing w:line="0" w:lineRule="atLeast"/>
              <w:jc w:val="center"/>
              <w:rPr>
                <w:color w:val="000000"/>
                <w:kern w:val="0"/>
                <w:sz w:val="22"/>
                <w:szCs w:val="22"/>
              </w:rPr>
            </w:pPr>
            <w:r>
              <w:rPr>
                <w:color w:val="000000"/>
                <w:kern w:val="0"/>
                <w:sz w:val="22"/>
                <w:szCs w:val="22"/>
              </w:rPr>
              <w:t>项目效益　</w:t>
            </w:r>
          </w:p>
        </w:tc>
        <w:tc>
          <w:tcPr>
            <w:tcW w:w="344" w:type="pct"/>
            <w:shd w:val="clear" w:color="auto" w:fill="FFFFFF"/>
            <w:vAlign w:val="center"/>
          </w:tcPr>
          <w:p w14:paraId="63650137">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14:paraId="39FEEE11">
            <w:pPr>
              <w:widowControl/>
              <w:spacing w:line="0" w:lineRule="atLeast"/>
              <w:jc w:val="left"/>
              <w:rPr>
                <w:color w:val="000000"/>
                <w:kern w:val="0"/>
                <w:sz w:val="22"/>
                <w:szCs w:val="22"/>
              </w:rPr>
            </w:pPr>
            <w:r>
              <w:rPr>
                <w:color w:val="000000"/>
                <w:kern w:val="0"/>
                <w:sz w:val="22"/>
                <w:szCs w:val="22"/>
              </w:rPr>
              <w:t>项目实施所产生的效益。</w:t>
            </w:r>
          </w:p>
        </w:tc>
        <w:tc>
          <w:tcPr>
            <w:tcW w:w="2048" w:type="pct"/>
            <w:shd w:val="clear" w:color="auto" w:fill="FFFFFF"/>
            <w:vAlign w:val="center"/>
          </w:tcPr>
          <w:p w14:paraId="5D097CBD">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2DC73479">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auto" w:fill="FFFFFF"/>
            <w:vAlign w:val="center"/>
          </w:tcPr>
          <w:p w14:paraId="12A2153E">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14:paraId="107813F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14:paraId="35910BB6">
            <w:pPr>
              <w:widowControl/>
              <w:spacing w:line="0" w:lineRule="atLeast"/>
              <w:jc w:val="center"/>
              <w:rPr>
                <w:color w:val="000000"/>
                <w:kern w:val="0"/>
                <w:sz w:val="22"/>
                <w:szCs w:val="22"/>
              </w:rPr>
            </w:pPr>
          </w:p>
        </w:tc>
        <w:tc>
          <w:tcPr>
            <w:tcW w:w="301" w:type="pct"/>
            <w:vMerge w:val="continue"/>
            <w:shd w:val="clear" w:color="auto" w:fill="FFFFFF"/>
            <w:vAlign w:val="center"/>
          </w:tcPr>
          <w:p w14:paraId="0F1DAA2D">
            <w:pPr>
              <w:widowControl/>
              <w:spacing w:line="0" w:lineRule="atLeast"/>
              <w:jc w:val="center"/>
              <w:rPr>
                <w:color w:val="000000"/>
                <w:kern w:val="0"/>
                <w:sz w:val="22"/>
                <w:szCs w:val="22"/>
              </w:rPr>
            </w:pPr>
          </w:p>
        </w:tc>
        <w:tc>
          <w:tcPr>
            <w:tcW w:w="344" w:type="pct"/>
            <w:shd w:val="clear" w:color="auto" w:fill="FFFFFF"/>
            <w:vAlign w:val="center"/>
          </w:tcPr>
          <w:p w14:paraId="153B825C">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14:paraId="0C4234B1">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8" w:type="pct"/>
            <w:shd w:val="clear" w:color="000000" w:fill="FFFFFF"/>
            <w:vAlign w:val="center"/>
          </w:tcPr>
          <w:p w14:paraId="5081B95B">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261BA048">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28D10B37">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bl>
    <w:p w14:paraId="5CA09FB9"/>
    <w:p w14:paraId="2FEF26B4">
      <w:pPr>
        <w:rPr>
          <w:rFonts w:hint="eastAsia"/>
          <w:lang w:val="en-US" w:eastAsia="zh-CN"/>
        </w:rPr>
      </w:pPr>
    </w:p>
    <w:p w14:paraId="33B2FA7C">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绩效评价方法</w:t>
      </w:r>
    </w:p>
    <w:p w14:paraId="7498B4A2">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4BAF30F2">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7136B4B4">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（1）比较法</w:t>
      </w:r>
    </w:p>
    <w:p w14:paraId="3E77F694">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通过对绩效目标与实施效果、历史与当期情况，综合分析绩效目标实现程度。对</w:t>
      </w:r>
      <w:r>
        <w:rPr>
          <w:rFonts w:eastAsia="仿宋_GB2312"/>
          <w:sz w:val="32"/>
          <w:szCs w:val="32"/>
          <w:highlight w:val="none"/>
        </w:rPr>
        <w:t>项目</w:t>
      </w:r>
      <w:r>
        <w:rPr>
          <w:rFonts w:eastAsia="仿宋_GB2312"/>
          <w:color w:val="000000"/>
          <w:spacing w:val="17"/>
          <w:sz w:val="32"/>
          <w:szCs w:val="32"/>
          <w:highlight w:val="none"/>
        </w:rPr>
        <w:t>最终验收情况与年度绩效目标对比、预算资金执行情况等相关因素进行比较。</w:t>
      </w:r>
    </w:p>
    <w:p w14:paraId="33946CB8">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（2）因素分析法</w:t>
      </w:r>
    </w:p>
    <w:p w14:paraId="3F53D466">
      <w:pPr>
        <w:spacing w:line="560" w:lineRule="exact"/>
        <w:ind w:firstLine="708" w:firstLineChars="200"/>
        <w:rPr>
          <w:rFonts w:eastAsia="仿宋_GB2312"/>
          <w:color w:val="000000"/>
          <w:spacing w:val="17"/>
          <w:sz w:val="32"/>
          <w:szCs w:val="32"/>
        </w:rPr>
      </w:pPr>
      <w:r>
        <w:rPr>
          <w:rFonts w:eastAsia="仿宋_GB2312"/>
          <w:color w:val="000000"/>
          <w:spacing w:val="17"/>
          <w:sz w:val="32"/>
          <w:szCs w:val="32"/>
          <w:highlight w:val="none"/>
        </w:rPr>
        <w:t>通过综合分析影响绩效目标实现、实施效果的内外因素，评价绩效目标实现程度。通过对</w:t>
      </w:r>
      <w:r>
        <w:rPr>
          <w:rFonts w:eastAsia="仿宋_GB2312"/>
          <w:sz w:val="32"/>
          <w:szCs w:val="32"/>
          <w:highlight w:val="none"/>
        </w:rPr>
        <w:t>项目</w:t>
      </w:r>
      <w:r>
        <w:rPr>
          <w:rFonts w:eastAsia="仿宋_GB2312"/>
          <w:color w:val="000000"/>
          <w:spacing w:val="17"/>
          <w:sz w:val="32"/>
          <w:szCs w:val="32"/>
          <w:highlight w:val="none"/>
        </w:rPr>
        <w:t>的开展情况、项目产出数量、成本控制、资金拨付文件及自评报告等相关资料的收集和审核，综合分析各因素对绩</w:t>
      </w:r>
      <w:r>
        <w:rPr>
          <w:rFonts w:eastAsia="仿宋_GB2312"/>
          <w:color w:val="000000"/>
          <w:spacing w:val="17"/>
          <w:sz w:val="32"/>
          <w:szCs w:val="32"/>
        </w:rPr>
        <w:t>效目标实现的影响。</w:t>
      </w:r>
    </w:p>
    <w:p w14:paraId="447A8191">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评价标准</w:t>
      </w:r>
    </w:p>
    <w:p w14:paraId="407E82D5">
      <w:pPr>
        <w:spacing w:line="560" w:lineRule="exact"/>
        <w:ind w:firstLine="640"/>
        <w:rPr>
          <w:rFonts w:eastAsia="方正仿宋_GBK" w:cs="方正仿宋_GBK"/>
          <w:color w:val="FF0000"/>
          <w:sz w:val="32"/>
          <w:szCs w:val="32"/>
          <w:highlight w:val="none"/>
        </w:rPr>
      </w:pPr>
      <w:r>
        <w:rPr>
          <w:rFonts w:hint="eastAsia" w:eastAsia="方正仿宋_GBK" w:cs="方正仿宋_GBK"/>
          <w:sz w:val="32"/>
          <w:szCs w:val="32"/>
        </w:rPr>
        <w:t>绩效评价标准通常包括计划标准、行业标准、历史标准等，用于对绩效指标完成情况进行比较、分析、评价。</w:t>
      </w:r>
      <w:r>
        <w:rPr>
          <w:rFonts w:hint="eastAsia" w:eastAsia="方正仿宋_GBK" w:cs="方正仿宋_GBK"/>
          <w:sz w:val="32"/>
          <w:szCs w:val="32"/>
          <w:highlight w:val="none"/>
        </w:rPr>
        <w:t>本次评价主要采用了</w:t>
      </w:r>
      <w:r>
        <w:rPr>
          <w:rFonts w:hint="eastAsia" w:eastAsia="方正仿宋_GBK" w:cs="方正仿宋_GBK"/>
          <w:sz w:val="32"/>
          <w:szCs w:val="32"/>
          <w:highlight w:val="none"/>
          <w:lang w:val="en-US" w:eastAsia="zh-CN"/>
        </w:rPr>
        <w:t>计划</w:t>
      </w:r>
      <w:r>
        <w:rPr>
          <w:rFonts w:hint="eastAsia" w:eastAsia="方正仿宋_GBK" w:cs="方正仿宋_GBK"/>
          <w:sz w:val="32"/>
          <w:szCs w:val="32"/>
          <w:highlight w:val="none"/>
        </w:rPr>
        <w:t>标准。</w:t>
      </w:r>
    </w:p>
    <w:p w14:paraId="081BC1FB">
      <w:pPr>
        <w:spacing w:line="560" w:lineRule="exact"/>
        <w:ind w:firstLine="640"/>
        <w:rPr>
          <w:rFonts w:eastAsia="方正仿宋_GBK" w:cs="方正仿宋_GBK"/>
          <w:sz w:val="32"/>
          <w:szCs w:val="32"/>
        </w:rPr>
      </w:pPr>
      <w:bookmarkStart w:id="0" w:name="_Toc17882"/>
      <w:bookmarkStart w:id="1" w:name="_Toc31464"/>
      <w:r>
        <w:rPr>
          <w:rFonts w:hint="eastAsia" w:eastAsia="方正仿宋_GBK" w:cs="方正仿宋_GBK"/>
          <w:b/>
          <w:bCs/>
          <w:sz w:val="32"/>
          <w:szCs w:val="32"/>
        </w:rPr>
        <w:t>计划标准：</w:t>
      </w:r>
      <w:r>
        <w:rPr>
          <w:rFonts w:hint="eastAsia" w:eastAsia="方正仿宋_GBK" w:cs="方正仿宋_GBK"/>
          <w:sz w:val="32"/>
          <w:szCs w:val="32"/>
        </w:rPr>
        <w:t>指以预先制定的目标、计划、预算、定额等作为评价标准。</w:t>
      </w:r>
      <w:bookmarkEnd w:id="0"/>
      <w:bookmarkEnd w:id="1"/>
    </w:p>
    <w:p w14:paraId="1D199854">
      <w:pPr>
        <w:pStyle w:val="8"/>
        <w:numPr>
          <w:ilvl w:val="0"/>
          <w:numId w:val="4"/>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0158CD0B">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1.前期准备。</w:t>
      </w:r>
      <w:r>
        <w:rPr>
          <w:rFonts w:hint="eastAsia" w:eastAsia="仿宋_GB2312"/>
          <w:bCs/>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3F4BE518">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2.组织实施。</w:t>
      </w:r>
      <w:r>
        <w:rPr>
          <w:rFonts w:hint="eastAsia" w:eastAsia="仿宋_GB2312"/>
          <w:bCs/>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4A14CF7F">
      <w:pPr>
        <w:spacing w:line="560" w:lineRule="exact"/>
        <w:ind w:firstLine="643" w:firstLineChars="200"/>
        <w:rPr>
          <w:sz w:val="32"/>
          <w:szCs w:val="32"/>
        </w:rPr>
      </w:pPr>
      <w:r>
        <w:rPr>
          <w:rFonts w:hint="eastAsia" w:ascii="仿宋_GB2312" w:hAnsi="仿宋_GB2312" w:eastAsia="仿宋_GB2312" w:cs="仿宋_GB2312"/>
          <w:b/>
          <w:bCs/>
          <w:sz w:val="32"/>
          <w:szCs w:val="32"/>
        </w:rPr>
        <w:t>3.分析评价。</w:t>
      </w:r>
      <w:r>
        <w:rPr>
          <w:rFonts w:hint="eastAsia" w:eastAsia="仿宋_GB2312"/>
          <w:bCs/>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323C5F51">
      <w:pPr>
        <w:numPr>
          <w:ilvl w:val="0"/>
          <w:numId w:val="5"/>
        </w:numPr>
        <w:spacing w:line="560" w:lineRule="exact"/>
        <w:ind w:firstLine="640" w:firstLineChars="200"/>
        <w:rPr>
          <w:rFonts w:eastAsia="黑体"/>
          <w:sz w:val="32"/>
          <w:szCs w:val="32"/>
        </w:rPr>
      </w:pPr>
      <w:r>
        <w:rPr>
          <w:rFonts w:eastAsia="黑体"/>
          <w:sz w:val="32"/>
          <w:szCs w:val="32"/>
        </w:rPr>
        <w:t>综合评价情况及评价结论</w:t>
      </w:r>
    </w:p>
    <w:p w14:paraId="71989C64">
      <w:pPr>
        <w:pStyle w:val="8"/>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14:paraId="03DC963F">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129DAECB">
      <w:pPr>
        <w:pStyle w:val="8"/>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14:paraId="0733DCB2">
      <w:pPr>
        <w:pStyle w:val="8"/>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w:t>
      </w:r>
      <w:r>
        <w:rPr>
          <w:rFonts w:hint="eastAsia" w:ascii="Times New Roman" w:hAnsi="Times New Roman" w:eastAsia="仿宋_GB2312"/>
          <w:b w:val="0"/>
          <w:bCs w:val="0"/>
          <w:highlight w:val="none"/>
        </w:rPr>
        <w:t xml:space="preserve">最终评分结果：总得分为 </w:t>
      </w:r>
      <w:r>
        <w:rPr>
          <w:rFonts w:hint="eastAsia" w:ascii="Times New Roman" w:hAnsi="Times New Roman" w:eastAsia="仿宋_GB2312"/>
          <w:b w:val="0"/>
          <w:bCs w:val="0"/>
          <w:highlight w:val="none"/>
          <w:lang w:val="en-US" w:eastAsia="zh-CN"/>
        </w:rPr>
        <w:t>97.29</w:t>
      </w:r>
      <w:r>
        <w:rPr>
          <w:rFonts w:hint="eastAsia" w:ascii="Times New Roman" w:hAnsi="Times New Roman" w:eastAsia="仿宋_GB2312"/>
          <w:b w:val="0"/>
          <w:bCs w:val="0"/>
          <w:highlight w:val="none"/>
        </w:rPr>
        <w:t xml:space="preserve">分，属于“优”。其中，项目决策类指标权重为20分，得分为 </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17.29</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86.45</w:t>
      </w:r>
      <w:r>
        <w:rPr>
          <w:rFonts w:hint="eastAsia"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40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86.25</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%。具体打分情况详见：</w:t>
      </w:r>
      <w:r>
        <w:rPr>
          <w:rFonts w:hint="eastAsia" w:ascii="Times New Roman" w:hAnsi="Times New Roman" w:eastAsia="仿宋_GB2312"/>
          <w:b w:val="0"/>
          <w:bCs w:val="0"/>
          <w:highlight w:val="none"/>
          <w:lang w:val="en-US" w:eastAsia="zh-CN"/>
        </w:rPr>
        <w:t>表</w:t>
      </w:r>
      <w:r>
        <w:rPr>
          <w:rFonts w:hint="eastAsia" w:ascii="Times New Roman" w:hAnsi="Times New Roman" w:eastAsia="仿宋_GB2312"/>
          <w:b w:val="0"/>
          <w:bCs w:val="0"/>
          <w:highlight w:val="none"/>
        </w:rPr>
        <w:t>1</w:t>
      </w:r>
      <w:r>
        <w:rPr>
          <w:rFonts w:hint="eastAsia" w:ascii="Times New Roman" w:hAnsi="Times New Roman" w:eastAsia="仿宋_GB2312"/>
          <w:b w:val="0"/>
          <w:bCs w:val="0"/>
          <w:highlight w:val="none"/>
          <w:lang w:val="en-US" w:eastAsia="zh-CN"/>
        </w:rPr>
        <w:t>.</w:t>
      </w:r>
      <w:r>
        <w:rPr>
          <w:rFonts w:hint="eastAsia" w:ascii="Times New Roman" w:hAnsi="Times New Roman" w:eastAsia="仿宋_GB2312"/>
          <w:b w:val="0"/>
          <w:bCs w:val="0"/>
          <w:highlight w:val="none"/>
        </w:rPr>
        <w:t>综合评分表。</w:t>
      </w:r>
    </w:p>
    <w:p w14:paraId="315D1F85">
      <w:pPr>
        <w:pStyle w:val="8"/>
        <w:spacing w:before="0" w:after="0"/>
        <w:rPr>
          <w:rFonts w:ascii="Times New Roman" w:hAnsi="Times New Roman" w:eastAsia="仿宋_GB2312"/>
          <w:sz w:val="30"/>
          <w:szCs w:val="30"/>
          <w:highlight w:val="none"/>
        </w:rPr>
      </w:pPr>
      <w:r>
        <w:rPr>
          <w:rFonts w:ascii="Times New Roman" w:hAnsi="Times New Roman" w:eastAsia="仿宋_GB2312"/>
          <w:sz w:val="30"/>
          <w:szCs w:val="30"/>
          <w:highlight w:val="none"/>
        </w:rPr>
        <w:t>表1</w:t>
      </w:r>
      <w:r>
        <w:rPr>
          <w:rFonts w:hint="eastAsia" w:ascii="Times New Roman" w:hAnsi="Times New Roman" w:eastAsia="仿宋_GB2312"/>
          <w:sz w:val="30"/>
          <w:szCs w:val="30"/>
          <w:highlight w:val="none"/>
          <w:lang w:val="en-US" w:eastAsia="zh-CN"/>
        </w:rPr>
        <w:t>.</w:t>
      </w:r>
      <w:r>
        <w:rPr>
          <w:rFonts w:ascii="Times New Roman" w:hAnsi="Times New Roman" w:eastAsia="仿宋_GB2312"/>
          <w:sz w:val="30"/>
          <w:szCs w:val="30"/>
          <w:highlight w:val="none"/>
        </w:rPr>
        <w:t>综合评分表</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2C994B73">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7370B0DE">
            <w:pPr>
              <w:jc w:val="center"/>
              <w:rPr>
                <w:b/>
                <w:bCs/>
                <w:color w:val="000000"/>
                <w:sz w:val="22"/>
                <w:highlight w:val="none"/>
              </w:rPr>
            </w:pPr>
            <w:r>
              <w:rPr>
                <w:rFonts w:hint="eastAsia"/>
                <w:b/>
                <w:bCs/>
                <w:color w:val="000000"/>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4C815590">
            <w:pPr>
              <w:jc w:val="center"/>
              <w:rPr>
                <w:b/>
                <w:bCs/>
                <w:color w:val="000000"/>
                <w:sz w:val="22"/>
                <w:highlight w:val="none"/>
              </w:rPr>
            </w:pPr>
            <w:r>
              <w:rPr>
                <w:rFonts w:hint="eastAsia"/>
                <w:b/>
                <w:bCs/>
                <w:color w:val="000000"/>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7AE7E34C">
            <w:pPr>
              <w:jc w:val="center"/>
              <w:rPr>
                <w:b/>
                <w:bCs/>
                <w:color w:val="000000"/>
                <w:sz w:val="22"/>
                <w:highlight w:val="none"/>
              </w:rPr>
            </w:pPr>
            <w:r>
              <w:rPr>
                <w:rFonts w:hint="eastAsia"/>
                <w:b/>
                <w:bCs/>
                <w:color w:val="000000"/>
                <w:sz w:val="22"/>
                <w:highlight w:val="none"/>
              </w:rPr>
              <w:t>得分</w:t>
            </w:r>
          </w:p>
        </w:tc>
      </w:tr>
      <w:tr w14:paraId="0EFFE55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418487A">
            <w:pPr>
              <w:jc w:val="center"/>
              <w:rPr>
                <w:color w:val="000000"/>
                <w:sz w:val="22"/>
                <w:highlight w:val="none"/>
              </w:rPr>
            </w:pPr>
            <w:r>
              <w:rPr>
                <w:rFonts w:hint="eastAsia"/>
                <w:color w:val="000000"/>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4353F2EC">
            <w:pPr>
              <w:jc w:val="center"/>
              <w:rPr>
                <w:color w:val="000000"/>
                <w:sz w:val="22"/>
                <w:highlight w:val="none"/>
              </w:rPr>
            </w:pPr>
            <w:r>
              <w:rPr>
                <w:rFonts w:hint="eastAsia"/>
                <w:color w:val="000000"/>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14:paraId="29B0F644">
            <w:pPr>
              <w:jc w:val="center"/>
              <w:rPr>
                <w:rFonts w:hint="default" w:eastAsia="宋体"/>
                <w:color w:val="000000"/>
                <w:sz w:val="22"/>
                <w:highlight w:val="none"/>
                <w:lang w:val="en-US" w:eastAsia="zh-CN"/>
              </w:rPr>
            </w:pPr>
            <w:r>
              <w:rPr>
                <w:rFonts w:hint="eastAsia"/>
                <w:color w:val="000000"/>
                <w:sz w:val="22"/>
                <w:highlight w:val="none"/>
                <w:lang w:val="en-US" w:eastAsia="zh-CN"/>
              </w:rPr>
              <w:t>20</w:t>
            </w:r>
          </w:p>
        </w:tc>
      </w:tr>
      <w:tr w14:paraId="3A44CA3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D2DCEA5">
            <w:pPr>
              <w:jc w:val="center"/>
              <w:rPr>
                <w:color w:val="000000"/>
                <w:sz w:val="22"/>
                <w:highlight w:val="none"/>
              </w:rPr>
            </w:pPr>
            <w:r>
              <w:rPr>
                <w:rFonts w:hint="eastAsia"/>
                <w:color w:val="000000"/>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7D08A885">
            <w:pPr>
              <w:jc w:val="center"/>
              <w:rPr>
                <w:color w:val="000000"/>
                <w:sz w:val="22"/>
                <w:highlight w:val="none"/>
              </w:rPr>
            </w:pPr>
            <w:r>
              <w:rPr>
                <w:rFonts w:hint="eastAsia"/>
                <w:color w:val="000000"/>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14:paraId="082E4654">
            <w:pPr>
              <w:jc w:val="center"/>
              <w:rPr>
                <w:rFonts w:hint="default" w:eastAsia="宋体"/>
                <w:color w:val="000000"/>
                <w:sz w:val="22"/>
                <w:highlight w:val="none"/>
                <w:lang w:val="en-US" w:eastAsia="zh-CN"/>
              </w:rPr>
            </w:pPr>
            <w:r>
              <w:rPr>
                <w:rFonts w:hint="eastAsia"/>
                <w:color w:val="000000"/>
                <w:sz w:val="22"/>
                <w:highlight w:val="none"/>
                <w:lang w:val="en-US" w:eastAsia="zh-CN"/>
              </w:rPr>
              <w:t>17.29</w:t>
            </w:r>
          </w:p>
        </w:tc>
      </w:tr>
      <w:tr w14:paraId="0C9D3B1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2866FBE">
            <w:pPr>
              <w:jc w:val="center"/>
              <w:rPr>
                <w:color w:val="000000"/>
                <w:sz w:val="22"/>
                <w:highlight w:val="none"/>
              </w:rPr>
            </w:pPr>
            <w:r>
              <w:rPr>
                <w:rFonts w:hint="eastAsia"/>
                <w:color w:val="000000"/>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2567CF65">
            <w:pPr>
              <w:jc w:val="center"/>
              <w:rPr>
                <w:color w:val="000000"/>
                <w:sz w:val="22"/>
                <w:highlight w:val="none"/>
              </w:rPr>
            </w:pPr>
            <w:r>
              <w:rPr>
                <w:rFonts w:hint="eastAsia"/>
                <w:color w:val="000000"/>
                <w:sz w:val="22"/>
                <w:highlight w:val="none"/>
              </w:rPr>
              <w:t>40</w:t>
            </w:r>
          </w:p>
        </w:tc>
        <w:tc>
          <w:tcPr>
            <w:tcW w:w="2278" w:type="dxa"/>
            <w:tcBorders>
              <w:top w:val="nil"/>
              <w:left w:val="nil"/>
              <w:bottom w:val="single" w:color="auto" w:sz="4" w:space="0"/>
              <w:right w:val="single" w:color="auto" w:sz="4" w:space="0"/>
            </w:tcBorders>
            <w:shd w:val="clear" w:color="auto" w:fill="auto"/>
            <w:vAlign w:val="center"/>
          </w:tcPr>
          <w:p w14:paraId="57FB0688">
            <w:pPr>
              <w:jc w:val="center"/>
              <w:rPr>
                <w:rFonts w:hint="default" w:eastAsia="宋体"/>
                <w:color w:val="000000"/>
                <w:sz w:val="22"/>
                <w:highlight w:val="none"/>
                <w:lang w:val="en-US" w:eastAsia="zh-CN"/>
              </w:rPr>
            </w:pPr>
            <w:r>
              <w:rPr>
                <w:rFonts w:hint="eastAsia"/>
                <w:color w:val="000000"/>
                <w:sz w:val="22"/>
                <w:highlight w:val="none"/>
                <w:lang w:val="en-US" w:eastAsia="zh-CN"/>
              </w:rPr>
              <w:t>40</w:t>
            </w:r>
          </w:p>
        </w:tc>
      </w:tr>
      <w:tr w14:paraId="416A56C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9A83BE2">
            <w:pPr>
              <w:jc w:val="center"/>
              <w:rPr>
                <w:color w:val="000000"/>
                <w:sz w:val="22"/>
                <w:highlight w:val="none"/>
              </w:rPr>
            </w:pPr>
            <w:r>
              <w:rPr>
                <w:rFonts w:hint="eastAsia"/>
                <w:color w:val="000000"/>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3198E7E4">
            <w:pPr>
              <w:jc w:val="center"/>
              <w:rPr>
                <w:color w:val="000000"/>
                <w:sz w:val="22"/>
                <w:highlight w:val="none"/>
              </w:rPr>
            </w:pPr>
            <w:r>
              <w:rPr>
                <w:rFonts w:hint="eastAsia"/>
                <w:color w:val="000000"/>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14:paraId="5F0BC0D9">
            <w:pPr>
              <w:jc w:val="center"/>
              <w:rPr>
                <w:rFonts w:hint="default" w:eastAsia="宋体"/>
                <w:color w:val="000000"/>
                <w:sz w:val="22"/>
                <w:highlight w:val="none"/>
                <w:lang w:val="en-US" w:eastAsia="zh-CN"/>
              </w:rPr>
            </w:pPr>
            <w:r>
              <w:rPr>
                <w:rFonts w:hint="eastAsia"/>
                <w:color w:val="000000"/>
                <w:sz w:val="22"/>
                <w:highlight w:val="none"/>
                <w:lang w:val="en-US" w:eastAsia="zh-CN"/>
              </w:rPr>
              <w:t>20</w:t>
            </w:r>
          </w:p>
        </w:tc>
      </w:tr>
      <w:tr w14:paraId="2D7761C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51DD2A7">
            <w:pPr>
              <w:jc w:val="center"/>
              <w:rPr>
                <w:rFonts w:cs="宋体"/>
                <w:b/>
                <w:bCs/>
                <w:color w:val="000000"/>
                <w:sz w:val="22"/>
                <w:highlight w:val="none"/>
              </w:rPr>
            </w:pPr>
            <w:r>
              <w:rPr>
                <w:rFonts w:hint="eastAsia" w:cs="宋体"/>
                <w:b/>
                <w:bCs/>
                <w:color w:val="000000"/>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79AA6018">
            <w:pPr>
              <w:jc w:val="center"/>
              <w:rPr>
                <w:b/>
                <w:bCs/>
                <w:color w:val="000000"/>
                <w:sz w:val="22"/>
                <w:highlight w:val="none"/>
              </w:rPr>
            </w:pPr>
            <w:r>
              <w:rPr>
                <w:rFonts w:hint="eastAsia"/>
                <w:b/>
                <w:bCs/>
                <w:color w:val="000000"/>
                <w:sz w:val="22"/>
                <w:highlight w:val="none"/>
              </w:rPr>
              <w:t>100</w:t>
            </w:r>
          </w:p>
        </w:tc>
        <w:tc>
          <w:tcPr>
            <w:tcW w:w="2278" w:type="dxa"/>
            <w:tcBorders>
              <w:top w:val="nil"/>
              <w:left w:val="nil"/>
              <w:bottom w:val="single" w:color="auto" w:sz="4" w:space="0"/>
              <w:right w:val="single" w:color="auto" w:sz="4" w:space="0"/>
            </w:tcBorders>
            <w:shd w:val="clear" w:color="auto" w:fill="auto"/>
            <w:vAlign w:val="center"/>
          </w:tcPr>
          <w:p w14:paraId="6E0DBFAE">
            <w:pPr>
              <w:jc w:val="center"/>
              <w:rPr>
                <w:rFonts w:hint="default" w:eastAsia="宋体"/>
                <w:b/>
                <w:bCs/>
                <w:color w:val="000000"/>
                <w:sz w:val="22"/>
                <w:highlight w:val="none"/>
                <w:lang w:val="en-US" w:eastAsia="zh-CN"/>
              </w:rPr>
            </w:pPr>
            <w:r>
              <w:rPr>
                <w:rFonts w:hint="eastAsia"/>
                <w:b/>
                <w:bCs/>
                <w:color w:val="000000"/>
                <w:sz w:val="22"/>
                <w:highlight w:val="none"/>
                <w:lang w:val="en-US" w:eastAsia="zh-CN"/>
              </w:rPr>
              <w:t>97.29</w:t>
            </w:r>
          </w:p>
        </w:tc>
      </w:tr>
    </w:tbl>
    <w:p w14:paraId="1463E010">
      <w:pPr>
        <w:spacing w:line="560" w:lineRule="exact"/>
        <w:ind w:firstLine="640" w:firstLineChars="200"/>
        <w:rPr>
          <w:rFonts w:eastAsia="黑体"/>
          <w:sz w:val="32"/>
          <w:szCs w:val="32"/>
        </w:rPr>
      </w:pPr>
      <w:r>
        <w:rPr>
          <w:rFonts w:eastAsia="黑体"/>
          <w:sz w:val="32"/>
          <w:szCs w:val="32"/>
        </w:rPr>
        <w:t>四、绩效评价指标分析</w:t>
      </w:r>
    </w:p>
    <w:p w14:paraId="659A193B">
      <w:pPr>
        <w:pStyle w:val="8"/>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7877549C">
      <w:pPr>
        <w:spacing w:line="600" w:lineRule="exact"/>
        <w:ind w:firstLine="600" w:firstLineChars="200"/>
        <w:outlineLvl w:val="0"/>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rPr>
        <w:t>项目决策类指标包括项目立项、绩效目标和资金投入三方面的内容，由6个三级指标构成，权重分值为20分，</w:t>
      </w:r>
      <w:r>
        <w:rPr>
          <w:rFonts w:hint="eastAsia" w:ascii="仿宋_GB2312" w:hAnsi="仿宋_GB2312" w:eastAsia="仿宋_GB2312" w:cs="仿宋_GB2312"/>
          <w:sz w:val="30"/>
          <w:szCs w:val="30"/>
          <w:highlight w:val="none"/>
        </w:rPr>
        <w:t>实际得分</w:t>
      </w:r>
      <w:r>
        <w:rPr>
          <w:rFonts w:hint="eastAsia" w:ascii="仿宋_GB2312" w:hAnsi="仿宋_GB2312" w:eastAsia="仿宋_GB2312" w:cs="仿宋_GB2312"/>
          <w:sz w:val="30"/>
          <w:szCs w:val="30"/>
          <w:highlight w:val="none"/>
          <w:lang w:val="en-US" w:eastAsia="zh-CN"/>
        </w:rPr>
        <w:t>20</w:t>
      </w:r>
      <w:r>
        <w:rPr>
          <w:rFonts w:hint="eastAsia" w:ascii="仿宋_GB2312" w:hAnsi="仿宋_GB2312" w:eastAsia="仿宋_GB2312" w:cs="仿宋_GB2312"/>
          <w:sz w:val="30"/>
          <w:szCs w:val="30"/>
          <w:highlight w:val="none"/>
        </w:rPr>
        <w:t>分，得分率为</w:t>
      </w:r>
      <w:r>
        <w:rPr>
          <w:rFonts w:hint="eastAsia" w:ascii="仿宋_GB2312" w:hAnsi="仿宋_GB2312" w:eastAsia="仿宋_GB2312" w:cs="仿宋_GB2312"/>
          <w:sz w:val="30"/>
          <w:szCs w:val="30"/>
          <w:highlight w:val="none"/>
          <w:lang w:val="en-US" w:eastAsia="zh-CN"/>
        </w:rPr>
        <w:t>100</w:t>
      </w:r>
      <w:r>
        <w:rPr>
          <w:rFonts w:hint="eastAsia" w:ascii="仿宋_GB2312" w:hAnsi="仿宋_GB2312" w:eastAsia="仿宋_GB2312" w:cs="仿宋_GB2312"/>
          <w:sz w:val="30"/>
          <w:szCs w:val="30"/>
          <w:highlight w:val="none"/>
        </w:rPr>
        <w:t>%。</w:t>
      </w:r>
    </w:p>
    <w:p w14:paraId="209BEC87">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14:paraId="2660E75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2610E6E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w:t>
      </w:r>
      <w:r>
        <w:rPr>
          <w:rFonts w:hint="eastAsia" w:ascii="仿宋_GB2312" w:hAnsi="仿宋_GB2312" w:eastAsia="仿宋_GB2312" w:cs="仿宋_GB2312"/>
          <w:sz w:val="32"/>
          <w:szCs w:val="32"/>
          <w:lang w:val="en-US" w:eastAsia="zh-CN"/>
        </w:rPr>
        <w:t>学前教育</w:t>
      </w:r>
      <w:r>
        <w:rPr>
          <w:rFonts w:hint="eastAsia" w:ascii="仿宋_GB2312" w:hAnsi="仿宋_GB2312" w:eastAsia="仿宋_GB2312" w:cs="仿宋_GB2312"/>
          <w:sz w:val="32"/>
          <w:szCs w:val="32"/>
        </w:rPr>
        <w:t>规划要求，围绕本年度工作重点和工作计划制定经费预算，属于公共财政支持范围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资金来源为</w:t>
      </w:r>
      <w:r>
        <w:rPr>
          <w:rFonts w:hint="eastAsia" w:ascii="仿宋_GB2312" w:hAnsi="仿宋_GB2312" w:eastAsia="仿宋_GB2312" w:cs="仿宋_GB2312"/>
          <w:sz w:val="32"/>
          <w:szCs w:val="32"/>
        </w:rPr>
        <w:t>本级安排财政资金。本项目与部门内部其他相关项目不重复。因此，立项依据充分，得4分。</w:t>
      </w:r>
    </w:p>
    <w:p w14:paraId="5A4890D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29435EDC">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故立项程序规范，得4分。</w:t>
      </w:r>
    </w:p>
    <w:p w14:paraId="6794BD01">
      <w:pPr>
        <w:spacing w:line="360" w:lineRule="auto"/>
        <w:ind w:firstLine="562" w:firstLineChars="200"/>
        <w:rPr>
          <w:rFonts w:hint="eastAsia" w:ascii="仿宋_GB2312" w:hAnsi="Calibri" w:eastAsia="仿宋_GB2312" w:cs="黑体"/>
          <w:b/>
          <w:bCs/>
          <w:sz w:val="28"/>
          <w:szCs w:val="28"/>
        </w:rPr>
      </w:pPr>
      <w:r>
        <w:rPr>
          <w:rFonts w:hint="eastAsia" w:ascii="仿宋_GB2312" w:hAnsi="Calibri" w:eastAsia="仿宋_GB2312" w:cs="黑体"/>
          <w:b/>
          <w:bCs/>
          <w:sz w:val="28"/>
          <w:szCs w:val="28"/>
        </w:rPr>
        <w:t>综上，该指标满分8分，得分</w:t>
      </w:r>
      <w:r>
        <w:rPr>
          <w:rFonts w:hint="eastAsia" w:ascii="仿宋_GB2312" w:hAnsi="Calibri" w:eastAsia="仿宋_GB2312" w:cs="黑体"/>
          <w:b/>
          <w:bCs/>
          <w:sz w:val="28"/>
          <w:szCs w:val="28"/>
          <w:lang w:val="en-US" w:eastAsia="zh-CN"/>
        </w:rPr>
        <w:t>8</w:t>
      </w:r>
      <w:r>
        <w:rPr>
          <w:rFonts w:hint="eastAsia" w:ascii="仿宋_GB2312" w:hAnsi="Calibri" w:eastAsia="仿宋_GB2312" w:cs="黑体"/>
          <w:b/>
          <w:bCs/>
          <w:sz w:val="28"/>
          <w:szCs w:val="28"/>
        </w:rPr>
        <w:t>分。</w:t>
      </w:r>
    </w:p>
    <w:p w14:paraId="169CABCD">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14:paraId="1E6C547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389C82D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故绩效目标合理性指标得分3分。</w:t>
      </w:r>
    </w:p>
    <w:p w14:paraId="0F5D207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4D92AD18">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其中，目标已细化为具体的绩效指标，可通过数量指标、质量指标、经济成本指标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社会效益指标</w:t>
      </w:r>
      <w:r>
        <w:rPr>
          <w:rFonts w:hint="eastAsia" w:ascii="仿宋_GB2312" w:hAnsi="仿宋_GB2312" w:eastAsia="仿宋_GB2312" w:cs="仿宋_GB2312"/>
          <w:sz w:val="32"/>
          <w:szCs w:val="32"/>
          <w:lang w:eastAsia="zh-CN"/>
        </w:rPr>
        <w:t>、服务对象满意度指标</w:t>
      </w:r>
      <w:r>
        <w:rPr>
          <w:rFonts w:hint="eastAsia" w:ascii="仿宋_GB2312" w:hAnsi="仿宋_GB2312" w:eastAsia="仿宋_GB2312" w:cs="仿宋_GB2312"/>
          <w:sz w:val="32"/>
          <w:szCs w:val="32"/>
        </w:rPr>
        <w:t>予以量化，并具有确切的评价标准，且指标设定均与目标相关。各项指标均能在现实条件下收集到相关数据进行佐证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通过收集原始凭证、支付凭证、向教师发放调查问卷等方式</w:t>
      </w:r>
      <w:r>
        <w:rPr>
          <w:rFonts w:hint="eastAsia" w:ascii="仿宋_GB2312" w:hAnsi="仿宋_GB2312" w:eastAsia="仿宋_GB2312" w:cs="仿宋_GB2312"/>
          <w:sz w:val="32"/>
          <w:szCs w:val="32"/>
        </w:rPr>
        <w:t>，并与当年项目年度计划相对应，故绩效目标明确性指标得分3分。</w:t>
      </w:r>
    </w:p>
    <w:p w14:paraId="7051B043">
      <w:pPr>
        <w:spacing w:line="360" w:lineRule="auto"/>
        <w:ind w:firstLine="562" w:firstLineChars="200"/>
        <w:rPr>
          <w:rFonts w:hint="eastAsia" w:ascii="仿宋_GB2312" w:hAnsi="Calibri" w:eastAsia="仿宋_GB2312" w:cs="黑体"/>
          <w:b/>
          <w:bCs/>
          <w:sz w:val="28"/>
          <w:szCs w:val="28"/>
        </w:rPr>
      </w:pPr>
      <w:r>
        <w:rPr>
          <w:rFonts w:hint="eastAsia" w:ascii="仿宋_GB2312" w:hAnsi="Calibri" w:eastAsia="仿宋_GB2312" w:cs="黑体"/>
          <w:b/>
          <w:bCs/>
          <w:sz w:val="28"/>
          <w:szCs w:val="28"/>
        </w:rPr>
        <w:t>综上，该指标满分6分，得分</w:t>
      </w:r>
      <w:r>
        <w:rPr>
          <w:rFonts w:hint="eastAsia" w:ascii="仿宋_GB2312" w:hAnsi="Calibri" w:eastAsia="仿宋_GB2312" w:cs="黑体"/>
          <w:b/>
          <w:bCs/>
          <w:sz w:val="28"/>
          <w:szCs w:val="28"/>
          <w:lang w:val="en-US" w:eastAsia="zh-CN"/>
        </w:rPr>
        <w:t>6</w:t>
      </w:r>
      <w:r>
        <w:rPr>
          <w:rFonts w:hint="eastAsia" w:ascii="仿宋_GB2312" w:hAnsi="Calibri" w:eastAsia="仿宋_GB2312" w:cs="黑体"/>
          <w:b/>
          <w:bCs/>
          <w:sz w:val="28"/>
          <w:szCs w:val="28"/>
        </w:rPr>
        <w:t>分。</w:t>
      </w:r>
    </w:p>
    <w:p w14:paraId="6F762DA1">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14:paraId="515FBC1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14:paraId="4171BA2E">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保教费400元/生/月，幼儿读本费130元/生/年，采暖费120元/生/年的标准给予补助，每学年的财政补助按12个月计算，免费资金合计5050元/生/年。按财政要求将此补助中的5050元，拆分出每生600元，按年报数据我园有在册学生275人，用作保民生分类，由此本年度该经费共600*275=165000元。故预算编制科学性指标得分3分。</w:t>
      </w:r>
    </w:p>
    <w:p w14:paraId="72E1660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70410839">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根据乌政办[2020]62号印发关于加快推进乌鲁木齐市学前教育健康规范发展的实施方案的通知文件精神,该项目依据园内水、电、邮电、维修、培训等实际支出需求进行资金分配</w:t>
      </w:r>
      <w:r>
        <w:rPr>
          <w:rFonts w:hint="eastAsia" w:ascii="仿宋_GB2312" w:hAnsi="仿宋_GB2312" w:eastAsia="仿宋_GB2312" w:cs="仿宋_GB2312"/>
          <w:sz w:val="32"/>
          <w:szCs w:val="32"/>
        </w:rPr>
        <w:t>。故资金分配合理性指标得分3分。</w:t>
      </w:r>
    </w:p>
    <w:p w14:paraId="77812723">
      <w:pPr>
        <w:spacing w:line="360" w:lineRule="auto"/>
        <w:ind w:firstLine="562" w:firstLineChars="200"/>
        <w:rPr>
          <w:rFonts w:hint="eastAsia" w:ascii="仿宋_GB2312" w:hAnsi="Calibri" w:eastAsia="仿宋_GB2312" w:cs="黑体"/>
          <w:b/>
          <w:bCs/>
          <w:sz w:val="28"/>
          <w:szCs w:val="28"/>
        </w:rPr>
      </w:pPr>
      <w:r>
        <w:rPr>
          <w:rFonts w:hint="eastAsia" w:ascii="仿宋_GB2312" w:hAnsi="Calibri" w:eastAsia="仿宋_GB2312" w:cs="黑体"/>
          <w:b/>
          <w:bCs/>
          <w:sz w:val="28"/>
          <w:szCs w:val="28"/>
        </w:rPr>
        <w:t>综上，该指标满分6分，得分</w:t>
      </w:r>
      <w:r>
        <w:rPr>
          <w:rFonts w:hint="eastAsia" w:ascii="仿宋_GB2312" w:hAnsi="Calibri" w:eastAsia="仿宋_GB2312" w:cs="黑体"/>
          <w:b/>
          <w:bCs/>
          <w:sz w:val="28"/>
          <w:szCs w:val="28"/>
          <w:lang w:val="en-US" w:eastAsia="zh-CN"/>
        </w:rPr>
        <w:t>6</w:t>
      </w:r>
      <w:r>
        <w:rPr>
          <w:rFonts w:hint="eastAsia" w:ascii="仿宋_GB2312" w:hAnsi="Calibri" w:eastAsia="仿宋_GB2312" w:cs="黑体"/>
          <w:b/>
          <w:bCs/>
          <w:sz w:val="28"/>
          <w:szCs w:val="28"/>
        </w:rPr>
        <w:t>分。</w:t>
      </w:r>
    </w:p>
    <w:p w14:paraId="637B4B6B">
      <w:pPr>
        <w:pStyle w:val="8"/>
        <w:numPr>
          <w:ilvl w:val="0"/>
          <w:numId w:val="6"/>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39F78DE2">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项目过程类指标包括资金管理和组织实施两方面的内容，由5个三级指标构成，权重分值为20分，</w:t>
      </w:r>
      <w:r>
        <w:rPr>
          <w:rFonts w:hint="eastAsia" w:ascii="仿宋_GB2312" w:hAnsi="仿宋_GB2312" w:eastAsia="仿宋_GB2312" w:cs="仿宋_GB2312"/>
          <w:sz w:val="32"/>
          <w:szCs w:val="32"/>
          <w:highlight w:val="none"/>
        </w:rPr>
        <w:t>实际得分</w:t>
      </w:r>
      <w:r>
        <w:rPr>
          <w:rFonts w:hint="eastAsia" w:ascii="仿宋_GB2312" w:hAnsi="仿宋_GB2312" w:eastAsia="仿宋_GB2312" w:cs="仿宋_GB2312"/>
          <w:sz w:val="32"/>
          <w:szCs w:val="32"/>
          <w:highlight w:val="none"/>
          <w:lang w:val="en-US" w:eastAsia="zh-CN"/>
        </w:rPr>
        <w:t>17.29</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86.45</w:t>
      </w:r>
      <w:r>
        <w:rPr>
          <w:rFonts w:hint="eastAsia" w:ascii="仿宋_GB2312" w:hAnsi="仿宋_GB2312" w:eastAsia="仿宋_GB2312" w:cs="仿宋_GB2312"/>
          <w:sz w:val="32"/>
          <w:szCs w:val="32"/>
          <w:highlight w:val="none"/>
        </w:rPr>
        <w:t>%。</w:t>
      </w:r>
    </w:p>
    <w:p w14:paraId="22ED612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143E8BB2">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14:paraId="04D24AD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14:paraId="067679E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highlight w:val="none"/>
        </w:rPr>
        <w:t>总投资</w:t>
      </w:r>
      <w:r>
        <w:rPr>
          <w:rFonts w:hint="eastAsia" w:ascii="仿宋_GB2312" w:hAnsi="仿宋_GB2312" w:eastAsia="仿宋_GB2312" w:cs="仿宋_GB2312"/>
          <w:sz w:val="32"/>
          <w:szCs w:val="32"/>
          <w:highlight w:val="none"/>
          <w:lang w:val="en-US" w:eastAsia="zh-CN"/>
        </w:rPr>
        <w:t>16.5</w:t>
      </w:r>
      <w:r>
        <w:rPr>
          <w:rFonts w:hint="eastAsia" w:ascii="仿宋_GB2312" w:hAnsi="仿宋_GB2312" w:eastAsia="仿宋_GB2312" w:cs="仿宋_GB2312"/>
          <w:sz w:val="32"/>
          <w:szCs w:val="32"/>
          <w:highlight w:val="none"/>
        </w:rPr>
        <w:t>万元，财政资金及时足额到位，到位率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%，预算资金</w:t>
      </w:r>
      <w:r>
        <w:rPr>
          <w:rFonts w:hint="eastAsia" w:ascii="仿宋_GB2312" w:hAnsi="仿宋_GB2312" w:eastAsia="仿宋_GB2312" w:cs="仿宋_GB2312"/>
          <w:sz w:val="32"/>
          <w:szCs w:val="32"/>
        </w:rPr>
        <w:t>按计划进度执行。故资金到位率指标得分</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分。</w:t>
      </w:r>
    </w:p>
    <w:p w14:paraId="333C21E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14:paraId="1676728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w:t>
      </w:r>
      <w:r>
        <w:rPr>
          <w:rFonts w:hint="eastAsia" w:ascii="仿宋_GB2312" w:hAnsi="仿宋_GB2312" w:eastAsia="仿宋_GB2312" w:cs="仿宋_GB2312"/>
          <w:sz w:val="32"/>
          <w:szCs w:val="32"/>
          <w:lang w:val="en-US" w:eastAsia="zh-CN"/>
        </w:rPr>
        <w:t>到位资金16.5万元，</w:t>
      </w:r>
      <w:r>
        <w:rPr>
          <w:rFonts w:hint="eastAsia" w:ascii="仿宋_GB2312" w:hAnsi="仿宋_GB2312" w:eastAsia="仿宋_GB2312" w:cs="仿宋_GB2312"/>
          <w:sz w:val="32"/>
          <w:szCs w:val="32"/>
          <w:highlight w:val="none"/>
        </w:rPr>
        <w:t>预算资金支出</w:t>
      </w:r>
      <w:r>
        <w:rPr>
          <w:rFonts w:hint="eastAsia" w:ascii="仿宋_GB2312" w:hAnsi="仿宋_GB2312" w:eastAsia="仿宋_GB2312" w:cs="仿宋_GB2312"/>
          <w:sz w:val="32"/>
          <w:szCs w:val="32"/>
          <w:highlight w:val="none"/>
          <w:lang w:val="en-US" w:eastAsia="zh-CN"/>
        </w:rPr>
        <w:t>5.32</w:t>
      </w:r>
      <w:r>
        <w:rPr>
          <w:rFonts w:hint="eastAsia" w:ascii="仿宋_GB2312" w:hAnsi="仿宋_GB2312" w:eastAsia="仿宋_GB2312" w:cs="仿宋_GB2312"/>
          <w:sz w:val="32"/>
          <w:szCs w:val="32"/>
          <w:highlight w:val="none"/>
        </w:rPr>
        <w:t>万元，预算执行率为</w:t>
      </w:r>
      <w:r>
        <w:rPr>
          <w:rFonts w:hint="eastAsia" w:ascii="仿宋_GB2312" w:hAnsi="仿宋_GB2312" w:eastAsia="仿宋_GB2312" w:cs="仿宋_GB2312"/>
          <w:sz w:val="32"/>
          <w:szCs w:val="32"/>
          <w:highlight w:val="none"/>
          <w:lang w:val="en-US" w:eastAsia="zh-CN"/>
        </w:rPr>
        <w:t>32.24</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。故预算执行率得分为</w:t>
      </w:r>
      <w:r>
        <w:rPr>
          <w:rFonts w:hint="eastAsia" w:ascii="仿宋_GB2312" w:hAnsi="仿宋_GB2312" w:eastAsia="仿宋_GB2312" w:cs="仿宋_GB2312"/>
          <w:sz w:val="32"/>
          <w:szCs w:val="32"/>
          <w:lang w:val="en-US" w:eastAsia="zh-CN"/>
        </w:rPr>
        <w:t>1.29</w:t>
      </w:r>
      <w:r>
        <w:rPr>
          <w:rFonts w:hint="eastAsia" w:ascii="仿宋_GB2312" w:hAnsi="仿宋_GB2312" w:eastAsia="仿宋_GB2312" w:cs="仿宋_GB2312"/>
          <w:sz w:val="32"/>
          <w:szCs w:val="32"/>
        </w:rPr>
        <w:t>分。</w:t>
      </w:r>
    </w:p>
    <w:p w14:paraId="1DD9C5C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14:paraId="5606124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50A0502">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14:paraId="7F20754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14:paraId="0BADC58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2BDD122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14:paraId="6BE32FF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14:paraId="55460815">
      <w:pPr>
        <w:pStyle w:val="9"/>
        <w:numPr>
          <w:ilvl w:val="0"/>
          <w:numId w:val="6"/>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14:paraId="5332BD6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项目产出类指标包括产出数量、产出质量、产出时效、产出成本四方面的内容，由</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个三级指标构成，权重分为40分，</w:t>
      </w:r>
      <w:r>
        <w:rPr>
          <w:rFonts w:hint="eastAsia" w:ascii="仿宋_GB2312" w:hAnsi="仿宋_GB2312" w:eastAsia="仿宋_GB2312" w:cs="仿宋_GB2312"/>
          <w:sz w:val="32"/>
          <w:szCs w:val="32"/>
          <w:highlight w:val="none"/>
        </w:rPr>
        <w:t>实际得分</w:t>
      </w:r>
      <w:r>
        <w:rPr>
          <w:rFonts w:hint="eastAsia" w:ascii="仿宋_GB2312" w:hAnsi="仿宋_GB2312" w:eastAsia="仿宋_GB2312" w:cs="仿宋_GB2312"/>
          <w:sz w:val="32"/>
          <w:szCs w:val="32"/>
          <w:highlight w:val="none"/>
          <w:lang w:val="en-US" w:eastAsia="zh-CN"/>
        </w:rPr>
        <w:t>40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具体产出指标完成情况如下：</w:t>
      </w:r>
    </w:p>
    <w:p w14:paraId="13A3AD9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14:paraId="4DF26F51">
      <w:pP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指标1：弥补共用水、电费开支次数，指标值：</w:t>
      </w:r>
      <w:r>
        <w:rPr>
          <w:rFonts w:hint="eastAsia" w:ascii="仿宋_GB2312" w:hAnsi="仿宋_GB2312" w:eastAsia="仿宋_GB2312" w:cs="仿宋_GB2312"/>
          <w:sz w:val="32"/>
          <w:szCs w:val="32"/>
          <w:lang w:val="en-US" w:eastAsia="zh-CN"/>
        </w:rPr>
        <w:t>大于等于</w:t>
      </w:r>
      <w:r>
        <w:rPr>
          <w:rFonts w:hint="eastAsia" w:ascii="仿宋_GB2312" w:hAnsi="仿宋_GB2312" w:eastAsia="仿宋_GB2312" w:cs="仿宋_GB2312"/>
          <w:sz w:val="32"/>
          <w:szCs w:val="32"/>
        </w:rPr>
        <w:t>4次，实际完成值：</w:t>
      </w:r>
      <w:r>
        <w:rPr>
          <w:rFonts w:hint="eastAsia" w:ascii="仿宋_GB2312" w:hAnsi="仿宋_GB2312" w:eastAsia="仿宋_GB2312" w:cs="仿宋_GB2312"/>
          <w:sz w:val="32"/>
          <w:szCs w:val="32"/>
          <w:lang w:val="en-US" w:eastAsia="zh-CN"/>
        </w:rPr>
        <w:t>4次</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%，偏差原因：</w:t>
      </w:r>
      <w:r>
        <w:rPr>
          <w:rFonts w:hint="eastAsia" w:ascii="仿宋_GB2312" w:hAnsi="仿宋_GB2312" w:eastAsia="仿宋_GB2312" w:cs="仿宋_GB2312"/>
          <w:sz w:val="32"/>
          <w:szCs w:val="32"/>
          <w:lang w:val="en-US" w:eastAsia="zh-CN"/>
        </w:rPr>
        <w:t>无</w:t>
      </w:r>
      <w:r>
        <w:rPr>
          <w:rStyle w:val="14"/>
          <w:rFonts w:hint="eastAsia" w:ascii="Times New Roman" w:hAnsi="Times New Roman" w:eastAsia="仿宋_GB2312" w:cs="Times New Roman"/>
          <w:b w:val="0"/>
          <w:spacing w:val="-4"/>
          <w:sz w:val="32"/>
          <w:szCs w:val="32"/>
          <w:highlight w:val="none"/>
          <w:lang w:val="en-US" w:eastAsia="zh-CN"/>
        </w:rPr>
        <w:t>。</w:t>
      </w:r>
    </w:p>
    <w:p w14:paraId="49064914">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指标2：弥补共用电话费开支次数，指标值：</w:t>
      </w:r>
      <w:r>
        <w:rPr>
          <w:rFonts w:hint="eastAsia" w:ascii="仿宋_GB2312" w:hAnsi="仿宋_GB2312" w:eastAsia="仿宋_GB2312" w:cs="仿宋_GB2312"/>
          <w:sz w:val="32"/>
          <w:szCs w:val="32"/>
          <w:highlight w:val="none"/>
          <w:lang w:val="en-US" w:eastAsia="zh-CN"/>
        </w:rPr>
        <w:t>大于等于</w:t>
      </w:r>
      <w:r>
        <w:rPr>
          <w:rFonts w:hint="eastAsia" w:ascii="仿宋_GB2312" w:hAnsi="仿宋_GB2312" w:eastAsia="仿宋_GB2312" w:cs="仿宋_GB2312"/>
          <w:sz w:val="32"/>
          <w:szCs w:val="32"/>
        </w:rPr>
        <w:t>4次，实际完成值：</w:t>
      </w:r>
      <w:r>
        <w:rPr>
          <w:rFonts w:hint="eastAsia" w:ascii="仿宋_GB2312" w:hAnsi="仿宋_GB2312" w:eastAsia="仿宋_GB2312" w:cs="仿宋_GB2312"/>
          <w:sz w:val="32"/>
          <w:szCs w:val="32"/>
          <w:lang w:val="en-US" w:eastAsia="zh-CN"/>
        </w:rPr>
        <w:t>3次</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75</w:t>
      </w:r>
      <w:r>
        <w:rPr>
          <w:rFonts w:hint="eastAsia" w:ascii="仿宋_GB2312" w:hAnsi="仿宋_GB2312" w:eastAsia="仿宋_GB2312" w:cs="仿宋_GB2312"/>
          <w:sz w:val="32"/>
          <w:szCs w:val="32"/>
        </w:rPr>
        <w:t>%，偏差原因：部分电话费用其他指标支出。</w:t>
      </w:r>
      <w:r>
        <w:rPr>
          <w:rFonts w:hint="eastAsia" w:ascii="仿宋_GB2312" w:hAnsi="仿宋_GB2312" w:eastAsia="仿宋_GB2312" w:cs="仿宋_GB2312"/>
          <w:sz w:val="32"/>
          <w:szCs w:val="32"/>
          <w:highlight w:val="none"/>
          <w:lang w:val="en-US" w:eastAsia="zh-CN"/>
        </w:rPr>
        <w:t>改进措施：</w:t>
      </w:r>
      <w:r>
        <w:rPr>
          <w:rStyle w:val="14"/>
          <w:rFonts w:hint="eastAsia" w:ascii="Times New Roman" w:hAnsi="Times New Roman" w:eastAsia="仿宋_GB2312" w:cs="Times New Roman"/>
          <w:b w:val="0"/>
          <w:spacing w:val="-4"/>
          <w:sz w:val="32"/>
          <w:szCs w:val="32"/>
          <w:highlight w:val="none"/>
          <w:lang w:val="en-US" w:eastAsia="zh-CN"/>
        </w:rPr>
        <w:t>今后综合考量项目实施情况与历年完成值，进一步提高绩效目标设置的精准性。</w:t>
      </w:r>
    </w:p>
    <w:p w14:paraId="7F1DAB47">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指标3：弥补未报销的培训费，指标值：大于等于2次，实际完成值：2次，指标完成率100%，偏差原因：无。</w:t>
      </w:r>
    </w:p>
    <w:p w14:paraId="73D8E383">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：弥补零星维修维护费开支次数，指标值：大于等于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次，实际完成值：</w:t>
      </w:r>
      <w:r>
        <w:rPr>
          <w:rFonts w:hint="eastAsia" w:ascii="仿宋_GB2312" w:hAnsi="仿宋_GB2312" w:eastAsia="仿宋_GB2312" w:cs="仿宋_GB2312"/>
          <w:sz w:val="32"/>
          <w:szCs w:val="32"/>
          <w:lang w:val="en-US" w:eastAsia="zh-CN"/>
        </w:rPr>
        <w:t>1次</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%，偏差原因：</w:t>
      </w:r>
      <w:r>
        <w:rPr>
          <w:rFonts w:hint="eastAsia" w:ascii="仿宋_GB2312" w:hAnsi="仿宋_GB2312" w:eastAsia="仿宋_GB2312" w:cs="仿宋_GB2312"/>
          <w:sz w:val="32"/>
          <w:szCs w:val="32"/>
          <w:lang w:val="en-US" w:eastAsia="zh-CN"/>
        </w:rPr>
        <w:t>无</w:t>
      </w:r>
      <w:r>
        <w:rPr>
          <w:rStyle w:val="14"/>
          <w:rFonts w:hint="eastAsia" w:ascii="Times New Roman" w:hAnsi="Times New Roman" w:eastAsia="仿宋_GB2312" w:cs="Times New Roman"/>
          <w:b w:val="0"/>
          <w:spacing w:val="-4"/>
          <w:sz w:val="32"/>
          <w:szCs w:val="32"/>
          <w:highlight w:val="none"/>
          <w:lang w:val="en-US" w:eastAsia="zh-CN"/>
        </w:rPr>
        <w:t>。</w:t>
      </w:r>
    </w:p>
    <w:p w14:paraId="4557991C">
      <w:pPr>
        <w:spacing w:line="600" w:lineRule="exact"/>
        <w:ind w:firstLine="640" w:firstLineChars="200"/>
        <w:outlineLvl w:val="0"/>
        <w:rPr>
          <w:rFonts w:hint="default"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：弥补办公费开支次数，指标值：大于等于</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次，实际完成值：</w:t>
      </w:r>
      <w:r>
        <w:rPr>
          <w:rFonts w:hint="eastAsia" w:ascii="仿宋_GB2312" w:hAnsi="仿宋_GB2312" w:eastAsia="仿宋_GB2312" w:cs="仿宋_GB2312"/>
          <w:sz w:val="32"/>
          <w:szCs w:val="32"/>
          <w:lang w:val="en-US" w:eastAsia="zh-CN"/>
        </w:rPr>
        <w:t>0次</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偏差原因：</w:t>
      </w:r>
      <w:r>
        <w:rPr>
          <w:rFonts w:hint="eastAsia" w:ascii="仿宋_GB2312" w:hAnsi="仿宋_GB2312" w:eastAsia="仿宋_GB2312" w:cs="仿宋_GB2312"/>
          <w:sz w:val="32"/>
          <w:szCs w:val="32"/>
          <w:highlight w:val="none"/>
          <w:lang w:val="en-US" w:eastAsia="zh-CN"/>
        </w:rPr>
        <w:t>资金申请不够及时</w:t>
      </w:r>
      <w:r>
        <w:rPr>
          <w:rFonts w:hint="eastAsia" w:ascii="仿宋_GB2312" w:hAnsi="仿宋_GB2312" w:eastAsia="仿宋_GB2312" w:cs="仿宋_GB2312"/>
          <w:sz w:val="32"/>
          <w:szCs w:val="32"/>
          <w:highlight w:val="none"/>
        </w:rPr>
        <w:t>，计划的办公费未能及时支付</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改进措施：进一步加大资金申请力度，确保项目资金及时足额支付。</w:t>
      </w:r>
    </w:p>
    <w:p w14:paraId="6663573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14:paraId="7029207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指标1：教师培训结业率，指标值：</w:t>
      </w:r>
      <w:r>
        <w:rPr>
          <w:rFonts w:hint="eastAsia" w:ascii="仿宋_GB2312" w:hAnsi="仿宋_GB2312" w:eastAsia="仿宋_GB2312" w:cs="仿宋_GB2312"/>
          <w:sz w:val="32"/>
          <w:szCs w:val="32"/>
          <w:lang w:val="en-US" w:eastAsia="zh-CN"/>
        </w:rPr>
        <w:t>等于100%</w:t>
      </w:r>
      <w:r>
        <w:rPr>
          <w:rFonts w:hint="eastAsia" w:ascii="仿宋_GB2312" w:hAnsi="仿宋_GB2312" w:eastAsia="仿宋_GB2312" w:cs="仿宋_GB2312"/>
          <w:sz w:val="32"/>
          <w:szCs w:val="32"/>
        </w:rPr>
        <w:t>，实际完成值：100%，指标完成率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%。偏差原因：</w:t>
      </w:r>
      <w:r>
        <w:rPr>
          <w:rFonts w:hint="eastAsia" w:ascii="仿宋_GB2312" w:hAnsi="仿宋_GB2312" w:eastAsia="仿宋_GB2312" w:cs="仿宋_GB2312"/>
          <w:sz w:val="32"/>
          <w:szCs w:val="32"/>
          <w:lang w:val="en-US" w:eastAsia="zh-CN"/>
        </w:rPr>
        <w:t>无</w:t>
      </w:r>
      <w:r>
        <w:rPr>
          <w:rFonts w:hint="eastAsia" w:ascii="仿宋_GB2312" w:hAnsi="仿宋_GB2312" w:eastAsia="仿宋_GB2312" w:cs="仿宋_GB2312"/>
          <w:sz w:val="32"/>
          <w:szCs w:val="32"/>
        </w:rPr>
        <w:t>。</w:t>
      </w:r>
    </w:p>
    <w:p w14:paraId="3929FEFB">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14:paraId="75BD064A">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14:paraId="19C34798">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4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④</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成本指标：</w:t>
      </w:r>
    </w:p>
    <w:p w14:paraId="5E339D6B">
      <w:pP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指标1：用于水、电费的支出，指标值：小于等于1万元/次，实际完成值：1万元/次，指标完成率100%，偏差原因：无。</w:t>
      </w:r>
    </w:p>
    <w:p w14:paraId="2E4C90F2">
      <w:pP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2：用于电话费的支出，指标值：小于等于1万元，实际完成值：0.9万元，指标完成率90%，偏差原因：部分电话费用其他指标支出。改进措施：今后综合考量项目实施情况与历年完成值，进一步提高绩效目标设置的精准性。</w:t>
      </w:r>
    </w:p>
    <w:p w14:paraId="1AF7EDF7">
      <w:pP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3：用于报销培训费，指标值：小于等于0.5万元/人均，实际完成值：0.17万元/人均，指标完成率34%，偏差原因：资金申请不够及时，计划的培训费未能及时支付。改进措施：进一步加大资金申请力度，确保项目资金及时足额支付。</w:t>
      </w:r>
    </w:p>
    <w:p w14:paraId="2EA39978">
      <w:pP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指标4：用于零星维修维护费开支</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，指标值：小于等于2万元，实际完成值：0.35万元，指标完成率17.5%，偏差原因：资金申请不够及时，计划的维修维护费未能及时支付。改进措施：进一步加大资金申请力度，确保项目资金及时足额支付。</w:t>
      </w:r>
    </w:p>
    <w:p w14:paraId="301EBC30">
      <w:pP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5：用于办公费的支出，指标值：小于等于0.30万元，实际完成值：0万元，指标完成率0%，偏差原因：资金申请不够及时，计划的办公费未能及时支付。改进措施：进一步加大资金申请力度，确保项目资金及时足额支付。</w:t>
      </w:r>
    </w:p>
    <w:p w14:paraId="653D4812">
      <w:pPr>
        <w:pStyle w:val="9"/>
        <w:numPr>
          <w:ilvl w:val="0"/>
          <w:numId w:val="6"/>
        </w:numPr>
        <w:spacing w:line="560" w:lineRule="exact"/>
        <w:ind w:firstLine="643"/>
        <w:rPr>
          <w:rFonts w:eastAsia="楷体_GB2312"/>
          <w:b/>
          <w:bCs/>
          <w:sz w:val="32"/>
          <w:szCs w:val="32"/>
        </w:rPr>
      </w:pPr>
      <w:r>
        <w:rPr>
          <w:rFonts w:hint="eastAsia" w:eastAsia="楷体_GB2312"/>
          <w:b/>
          <w:bCs/>
          <w:sz w:val="32"/>
          <w:szCs w:val="32"/>
        </w:rPr>
        <w:t>项目效益情况</w:t>
      </w:r>
    </w:p>
    <w:p w14:paraId="7A71253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个三级指标构成，权重分为20分，</w:t>
      </w:r>
      <w:r>
        <w:rPr>
          <w:rFonts w:hint="eastAsia" w:ascii="仿宋_GB2312" w:hAnsi="仿宋_GB2312" w:eastAsia="仿宋_GB2312" w:cs="仿宋_GB2312"/>
          <w:sz w:val="32"/>
          <w:szCs w:val="32"/>
          <w:highlight w:val="none"/>
        </w:rPr>
        <w:t>实际得分</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%。具体效益指标及满意度指标完</w:t>
      </w:r>
      <w:r>
        <w:rPr>
          <w:rFonts w:hint="eastAsia" w:ascii="仿宋_GB2312" w:hAnsi="仿宋_GB2312" w:eastAsia="仿宋_GB2312" w:cs="仿宋_GB2312"/>
          <w:sz w:val="32"/>
          <w:szCs w:val="32"/>
        </w:rPr>
        <w:t>成情况如下：</w:t>
      </w:r>
    </w:p>
    <w:p w14:paraId="13A0B1CD">
      <w:pPr>
        <w:spacing w:line="600" w:lineRule="exact"/>
        <w:ind w:firstLine="643" w:firstLineChars="200"/>
        <w:outlineLv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1.实施效益</w:t>
      </w:r>
    </w:p>
    <w:p w14:paraId="4FB940A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①经济效益指标：</w:t>
      </w:r>
    </w:p>
    <w:p w14:paraId="0801BA32">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14:paraId="62B735A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②社会效益指标：</w:t>
      </w:r>
    </w:p>
    <w:p w14:paraId="72F0CE01">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指标1：保障教育教学工作正常开展，指标值：</w:t>
      </w:r>
      <w:r>
        <w:rPr>
          <w:rFonts w:hint="eastAsia" w:ascii="仿宋_GB2312" w:hAnsi="仿宋_GB2312" w:eastAsia="仿宋_GB2312" w:cs="仿宋_GB2312"/>
          <w:sz w:val="32"/>
          <w:szCs w:val="32"/>
          <w:lang w:val="en-US" w:eastAsia="zh-CN"/>
        </w:rPr>
        <w:t>有效保障</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指标分析：学前免费教育经费的投入保障了幼儿园的正常运转，改善了办学条件与教育质量，支持教师培训，保障了幼儿权益，教育教学工作正常开展。</w:t>
      </w:r>
      <w:r>
        <w:rPr>
          <w:rFonts w:hint="eastAsia" w:ascii="仿宋_GB2312" w:hAnsi="仿宋_GB2312" w:eastAsia="仿宋_GB2312" w:cs="仿宋_GB2312"/>
          <w:sz w:val="32"/>
          <w:szCs w:val="32"/>
        </w:rPr>
        <w:t>实际完成值：完全达到预期，指标完成率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14:paraId="6C0FE7D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③生态效益指标：</w:t>
      </w:r>
    </w:p>
    <w:p w14:paraId="4A8B5ABE">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14:paraId="493521FD">
      <w:pPr>
        <w:spacing w:line="600" w:lineRule="exact"/>
        <w:ind w:firstLine="643" w:firstLineChars="200"/>
        <w:outlineLv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2.满意度</w:t>
      </w:r>
    </w:p>
    <w:p w14:paraId="1596B68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满意度指标：教师培训满意度，指标值：</w:t>
      </w:r>
      <w:r>
        <w:rPr>
          <w:rFonts w:hint="eastAsia" w:ascii="仿宋_GB2312" w:hAnsi="仿宋_GB2312" w:eastAsia="仿宋_GB2312" w:cs="仿宋_GB2312"/>
          <w:sz w:val="32"/>
          <w:szCs w:val="32"/>
          <w:lang w:val="en-US" w:eastAsia="zh-CN"/>
        </w:rPr>
        <w:t>大于等于95%</w:t>
      </w:r>
      <w:r>
        <w:rPr>
          <w:rFonts w:hint="eastAsia" w:ascii="仿宋_GB2312" w:hAnsi="仿宋_GB2312" w:eastAsia="仿宋_GB2312" w:cs="仿宋_GB2312"/>
          <w:sz w:val="32"/>
          <w:szCs w:val="32"/>
        </w:rPr>
        <w:t>，实际完成值：97.62%，指标完成率</w:t>
      </w:r>
      <w:r>
        <w:rPr>
          <w:rFonts w:hint="eastAsia" w:ascii="仿宋_GB2312" w:hAnsi="仿宋_GB2312" w:eastAsia="仿宋_GB2312" w:cs="仿宋_GB2312"/>
          <w:sz w:val="32"/>
          <w:szCs w:val="32"/>
          <w:lang w:val="en-US" w:eastAsia="zh-CN"/>
        </w:rPr>
        <w:t>102.76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指标分析：教师培训满意度指标值通过发放调查问卷的方式测算，问卷发放给该项目涉及的所有参加培训教师，共计6人，回收答卷6份，通过各题目得分以及综合得分测算出总体满意度。</w:t>
      </w:r>
      <w:r>
        <w:rPr>
          <w:rFonts w:hint="eastAsia" w:ascii="仿宋_GB2312" w:hAnsi="仿宋_GB2312" w:eastAsia="仿宋_GB2312" w:cs="仿宋_GB2312"/>
          <w:sz w:val="32"/>
          <w:szCs w:val="32"/>
        </w:rPr>
        <w:t>偏差原因：</w:t>
      </w:r>
      <w:r>
        <w:rPr>
          <w:rFonts w:hint="eastAsia" w:ascii="仿宋_GB2312" w:hAnsi="仿宋_GB2312" w:eastAsia="仿宋_GB2312" w:cs="仿宋_GB2312"/>
          <w:sz w:val="32"/>
          <w:szCs w:val="32"/>
          <w:lang w:val="en-US" w:eastAsia="zh-CN"/>
        </w:rPr>
        <w:t>教师培训满意度较高。改进措施：今后综合考量项目实施情况与历年完成值，进一步提高绩效目标设置的精准性。</w:t>
      </w:r>
    </w:p>
    <w:p w14:paraId="0C5D3A1D">
      <w:pPr>
        <w:spacing w:line="560" w:lineRule="exact"/>
        <w:ind w:firstLine="640" w:firstLineChars="200"/>
        <w:rPr>
          <w:rStyle w:val="18"/>
          <w:rFonts w:ascii="Times New Roman" w:hAnsi="Times New Roman" w:cs="Times New Roman"/>
          <w:color w:val="auto"/>
        </w:rPr>
      </w:pPr>
      <w:r>
        <w:rPr>
          <w:rFonts w:hint="eastAsia" w:eastAsia="黑体"/>
          <w:sz w:val="32"/>
          <w:szCs w:val="32"/>
          <w:lang w:val="en-US" w:eastAsia="zh-CN"/>
        </w:rPr>
        <w:t>五</w:t>
      </w:r>
      <w:r>
        <w:rPr>
          <w:rFonts w:eastAsia="黑体"/>
          <w:sz w:val="32"/>
          <w:szCs w:val="32"/>
        </w:rPr>
        <w:t>、主要经验及做法、存在的问题及原因分析</w:t>
      </w:r>
    </w:p>
    <w:p w14:paraId="793CCE37">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4EE42548">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1AD68B27">
      <w:pPr>
        <w:pStyle w:val="8"/>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738BCDC">
      <w:pPr>
        <w:keepNext/>
        <w:keepLines/>
        <w:numPr>
          <w:ilvl w:val="0"/>
          <w:numId w:val="7"/>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7FED46F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1.相关绩效管理方面专业知识的系统性学习有待加强。各项指标的设置要进一步优化、完善，主要在细化、量化上改进。在绩效自评过程中，</w:t>
      </w:r>
      <w:r>
        <w:rPr>
          <w:rFonts w:hint="eastAsia" w:ascii="仿宋_GB2312" w:hAnsi="仿宋_GB2312" w:eastAsia="仿宋_GB2312" w:cs="仿宋_GB2312"/>
          <w:sz w:val="32"/>
          <w:szCs w:val="32"/>
          <w:lang w:val="en-US" w:eastAsia="zh-CN"/>
        </w:rPr>
        <w:t>由于部分人员</w:t>
      </w:r>
      <w:r>
        <w:rPr>
          <w:rFonts w:hint="eastAsia" w:ascii="仿宋_GB2312" w:hAnsi="仿宋_GB2312" w:eastAsia="仿宋_GB2312" w:cs="仿宋_GB2312"/>
          <w:sz w:val="32"/>
          <w:szCs w:val="32"/>
        </w:rPr>
        <w:t>缺乏相关绩效管理专业知识，自评价工作还存在自我审定的局限性，影响评价质量。</w:t>
      </w:r>
    </w:p>
    <w:p w14:paraId="6CA1117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2.因轮岗、调动、等因素使我单位绩效工作人员流动频繁，造成了工作衔接不到位的情况。</w:t>
      </w:r>
    </w:p>
    <w:p w14:paraId="3196435C">
      <w:pPr>
        <w:spacing w:line="560" w:lineRule="exact"/>
        <w:ind w:firstLine="640" w:firstLineChars="200"/>
        <w:rPr>
          <w:rFonts w:eastAsia="黑体"/>
          <w:sz w:val="32"/>
          <w:szCs w:val="32"/>
        </w:rPr>
      </w:pPr>
      <w:r>
        <w:rPr>
          <w:rFonts w:hint="eastAsia" w:eastAsia="黑体"/>
          <w:sz w:val="32"/>
          <w:szCs w:val="32"/>
          <w:lang w:val="en-US" w:eastAsia="zh-CN"/>
        </w:rPr>
        <w:t>六</w:t>
      </w:r>
      <w:r>
        <w:rPr>
          <w:rFonts w:hint="eastAsia" w:eastAsia="黑体"/>
          <w:sz w:val="32"/>
          <w:szCs w:val="32"/>
        </w:rPr>
        <w:t>、</w:t>
      </w:r>
      <w:r>
        <w:rPr>
          <w:rFonts w:eastAsia="黑体"/>
          <w:sz w:val="32"/>
          <w:szCs w:val="32"/>
        </w:rPr>
        <w:t>有关建议</w:t>
      </w:r>
    </w:p>
    <w:p w14:paraId="160F178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1.多进行有关绩效管理工作方面的培训。积极</w:t>
      </w:r>
      <w:r>
        <w:rPr>
          <w:rFonts w:hint="eastAsia" w:ascii="仿宋_GB2312" w:hAnsi="仿宋_GB2312" w:eastAsia="仿宋_GB2312" w:cs="仿宋_GB2312"/>
          <w:sz w:val="32"/>
          <w:szCs w:val="32"/>
          <w:lang w:val="en-US" w:eastAsia="zh-CN"/>
        </w:rPr>
        <w:t>参加</w:t>
      </w:r>
      <w:r>
        <w:rPr>
          <w:rFonts w:hint="eastAsia" w:ascii="仿宋_GB2312" w:hAnsi="仿宋_GB2312" w:eastAsia="仿宋_GB2312" w:cs="仿宋_GB2312"/>
          <w:sz w:val="32"/>
          <w:szCs w:val="32"/>
        </w:rPr>
        <w:t>第三方开展绩效管理工作培训，进一步夯实业务基础，提高我单位绩效人员水平。</w:t>
      </w:r>
    </w:p>
    <w:p w14:paraId="36B99B6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2.专门设定对绩效工作人员定职、定岗、定责等相关制度措施，进一步提升我单位绩效管理工作业务水平，扎实做好绩效管理工作。</w:t>
      </w:r>
    </w:p>
    <w:p w14:paraId="790CE32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1EA1EC40">
      <w:pPr>
        <w:spacing w:line="600" w:lineRule="exact"/>
        <w:ind w:firstLine="640" w:firstLineChars="200"/>
        <w:outlineLvl w:val="0"/>
        <w:rPr>
          <w:sz w:val="22"/>
          <w:szCs w:val="28"/>
        </w:rPr>
      </w:pPr>
      <w:r>
        <w:rPr>
          <w:rFonts w:hint="eastAsia" w:ascii="仿宋_GB2312" w:hAnsi="仿宋_GB2312" w:eastAsia="仿宋_GB2312" w:cs="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bookmarkStart w:id="3" w:name="_GoBack"/>
      <w:bookmarkEnd w:id="3"/>
    </w:p>
    <w:p w14:paraId="0CFEA55C">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682E3E4D">
      <w:pPr>
        <w:ind w:firstLine="640" w:firstLineChars="200"/>
        <w:rPr>
          <w:rFonts w:eastAsia="黑体"/>
          <w:sz w:val="32"/>
          <w:szCs w:val="32"/>
        </w:rPr>
      </w:pPr>
      <w:r>
        <w:rPr>
          <w:rFonts w:hint="eastAsia" w:eastAsia="黑体"/>
          <w:sz w:val="32"/>
          <w:szCs w:val="32"/>
          <w:lang w:val="en-US" w:eastAsia="zh-CN"/>
        </w:rPr>
        <w:t>七</w:t>
      </w:r>
      <w:r>
        <w:rPr>
          <w:rFonts w:hint="eastAsia" w:eastAsia="黑体"/>
          <w:sz w:val="32"/>
          <w:szCs w:val="32"/>
        </w:rPr>
        <w:t>、</w:t>
      </w:r>
      <w:r>
        <w:rPr>
          <w:rFonts w:eastAsia="黑体"/>
          <w:sz w:val="32"/>
          <w:szCs w:val="32"/>
        </w:rPr>
        <w:t>其他需要说</w:t>
      </w:r>
      <w:bookmarkStart w:id="2" w:name="page8"/>
      <w:bookmarkEnd w:id="2"/>
      <w:r>
        <w:rPr>
          <w:rFonts w:eastAsia="黑体"/>
          <w:sz w:val="32"/>
          <w:szCs w:val="32"/>
        </w:rPr>
        <w:t>明的问题</w:t>
      </w:r>
    </w:p>
    <w:p w14:paraId="52F6DBA0">
      <w:pPr>
        <w:pStyle w:val="10"/>
        <w:spacing w:after="0" w:line="560" w:lineRule="exact"/>
        <w:ind w:left="0" w:leftChars="0"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1.项目支出政策和路径设计科学，符合实际需要；</w:t>
      </w:r>
    </w:p>
    <w:p w14:paraId="43C725BA">
      <w:pPr>
        <w:pStyle w:val="10"/>
        <w:spacing w:after="0" w:line="560" w:lineRule="exact"/>
        <w:ind w:left="0" w:leftChars="0"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2.项目安排准确，未发现背离项目立项初衷的情况；</w:t>
      </w:r>
    </w:p>
    <w:p w14:paraId="0EF8D7AB">
      <w:pPr>
        <w:pStyle w:val="10"/>
        <w:spacing w:after="0" w:line="560" w:lineRule="exact"/>
        <w:ind w:left="0" w:leftChars="0"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3.项目的申报、审核机制完善;</w:t>
      </w:r>
    </w:p>
    <w:p w14:paraId="5E724D56">
      <w:pPr>
        <w:pStyle w:val="10"/>
        <w:spacing w:after="0" w:line="560" w:lineRule="exact"/>
        <w:ind w:left="0" w:leftChars="0"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4.未发现虚假行为和骗取财政资金的问题。</w:t>
      </w:r>
    </w:p>
    <w:p w14:paraId="2BE32C50"/>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3435DBC-9FF4-48A9-B3E8-AAF580B8A55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E7AB6E1-F50B-4674-8325-62739CAE9F79}"/>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8305CF91-F067-4ACC-86E1-D3B634B560B4}"/>
  </w:font>
  <w:font w:name="华文中宋">
    <w:panose1 w:val="02010600040101010101"/>
    <w:charset w:val="86"/>
    <w:family w:val="auto"/>
    <w:pitch w:val="default"/>
    <w:sig w:usb0="00000287" w:usb1="080F0000" w:usb2="00000000" w:usb3="00000000" w:csb0="0004009F" w:csb1="DFD70000"/>
    <w:embedRegular r:id="rId4" w:fontKey="{3FE7AF5A-DAF8-4D88-AD4A-A8E9C50A04BD}"/>
  </w:font>
  <w:font w:name="方正小标宋_GBK">
    <w:panose1 w:val="02000000000000000000"/>
    <w:charset w:val="86"/>
    <w:family w:val="script"/>
    <w:pitch w:val="default"/>
    <w:sig w:usb0="A00002BF" w:usb1="38CF7CFA" w:usb2="00082016" w:usb3="00000000" w:csb0="00040001" w:csb1="00000000"/>
    <w:embedRegular r:id="rId5" w:fontKey="{C2BEE52D-F678-4833-8F59-0510DEB99F36}"/>
  </w:font>
  <w:font w:name="楷体_GB2312">
    <w:panose1 w:val="02010609030101010101"/>
    <w:charset w:val="86"/>
    <w:family w:val="auto"/>
    <w:pitch w:val="default"/>
    <w:sig w:usb0="00000001" w:usb1="080E0000" w:usb2="00000000" w:usb3="00000000" w:csb0="00040000" w:csb1="00000000"/>
    <w:embedRegular r:id="rId6" w:fontKey="{B28729FE-044A-45B3-8DF1-552F710EDE73}"/>
  </w:font>
  <w:font w:name="方正仿宋_GBK">
    <w:panose1 w:val="02000000000000000000"/>
    <w:charset w:val="86"/>
    <w:family w:val="auto"/>
    <w:pitch w:val="default"/>
    <w:sig w:usb0="A00002BF" w:usb1="38CF7CFA" w:usb2="00082016" w:usb3="00000000" w:csb0="00040001" w:csb1="00000000"/>
    <w:embedRegular r:id="rId7" w:fontKey="{1C0DF0F3-0064-45BF-882B-C7443ACECE96}"/>
  </w:font>
  <w:font w:name="楷体">
    <w:panose1 w:val="02010609060101010101"/>
    <w:charset w:val="86"/>
    <w:family w:val="modern"/>
    <w:pitch w:val="default"/>
    <w:sig w:usb0="800002BF" w:usb1="38CF7CFA" w:usb2="00000016" w:usb3="00000000" w:csb0="00040001" w:csb1="00000000"/>
    <w:embedRegular r:id="rId8" w:fontKey="{0551DE82-7BCA-4FA9-BED7-6249F886076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5458"/>
    </w:sdtPr>
    <w:sdtContent>
      <w:p w14:paraId="7F21A9EA">
        <w:pPr>
          <w:pStyle w:val="6"/>
          <w:jc w:val="center"/>
        </w:pPr>
        <w:r>
          <w:fldChar w:fldCharType="begin"/>
        </w:r>
        <w:r>
          <w:instrText xml:space="preserve">PAGE   \* MERGEFORMAT</w:instrText>
        </w:r>
        <w:r>
          <w:fldChar w:fldCharType="separate"/>
        </w:r>
        <w:r>
          <w:rPr>
            <w:lang w:val="zh-CN"/>
          </w:rPr>
          <w:t>13</w:t>
        </w:r>
        <w:r>
          <w:fldChar w:fldCharType="end"/>
        </w:r>
      </w:p>
    </w:sdtContent>
  </w:sdt>
  <w:p w14:paraId="0796EA71">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3"/>
      <w:numFmt w:val="chineseCounting"/>
      <w:suff w:val="nothing"/>
      <w:lvlText w:val="%1、"/>
      <w:lvlJc w:val="left"/>
      <w:rPr>
        <w:rFonts w:hint="eastAsia"/>
      </w:rPr>
    </w:lvl>
  </w:abstractNum>
  <w:abstractNum w:abstractNumId="1">
    <w:nsid w:val="BF205925"/>
    <w:multiLevelType w:val="singleLevel"/>
    <w:tmpl w:val="BF205925"/>
    <w:lvl w:ilvl="0" w:tentative="0">
      <w:start w:val="3"/>
      <w:numFmt w:val="chineseCounting"/>
      <w:suff w:val="nothing"/>
      <w:lvlText w:val="（%1）"/>
      <w:lvlJc w:val="left"/>
      <w:rPr>
        <w:rFonts w:hint="eastAsia"/>
      </w:rPr>
    </w:lvl>
  </w:abstractNum>
  <w:abstractNum w:abstractNumId="2">
    <w:nsid w:val="CF092B84"/>
    <w:multiLevelType w:val="singleLevel"/>
    <w:tmpl w:val="CF092B84"/>
    <w:lvl w:ilvl="0" w:tentative="0">
      <w:start w:val="2"/>
      <w:numFmt w:val="decimal"/>
      <w:lvlText w:val="%1."/>
      <w:lvlJc w:val="left"/>
      <w:pPr>
        <w:tabs>
          <w:tab w:val="left" w:pos="312"/>
        </w:tabs>
      </w:pPr>
    </w:lvl>
  </w:abstractNum>
  <w:abstractNum w:abstractNumId="3">
    <w:nsid w:val="0053208E"/>
    <w:multiLevelType w:val="singleLevel"/>
    <w:tmpl w:val="0053208E"/>
    <w:lvl w:ilvl="0" w:tentative="0">
      <w:start w:val="1"/>
      <w:numFmt w:val="decimal"/>
      <w:suff w:val="nothing"/>
      <w:lvlText w:val="（%1）"/>
      <w:lvlJc w:val="left"/>
      <w:pPr>
        <w:ind w:left="642" w:leftChars="0" w:firstLine="0" w:firstLineChars="0"/>
      </w:pPr>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25B654F3"/>
    <w:multiLevelType w:val="singleLevel"/>
    <w:tmpl w:val="25B654F3"/>
    <w:lvl w:ilvl="0" w:tentative="0">
      <w:start w:val="2"/>
      <w:numFmt w:val="chineseCounting"/>
      <w:suff w:val="nothing"/>
      <w:lvlText w:val="（%1）"/>
      <w:lvlJc w:val="left"/>
      <w:rPr>
        <w:rFonts w:hint="eastAsia"/>
      </w:rPr>
    </w:lvl>
  </w:abstractNum>
  <w:abstractNum w:abstractNumId="6">
    <w:nsid w:val="59ADCABA"/>
    <w:multiLevelType w:val="singleLevel"/>
    <w:tmpl w:val="59ADCABA"/>
    <w:lvl w:ilvl="0" w:tentative="0">
      <w:start w:val="1"/>
      <w:numFmt w:val="decimal"/>
      <w:suff w:val="nothing"/>
      <w:lvlText w:val="（%1）"/>
      <w:lvlJc w:val="left"/>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iMGIwZmFmNTFkMzZhMzIyMjI2ZjMzY2ViMDZhZWEifQ=="/>
  </w:docVars>
  <w:rsids>
    <w:rsidRoot w:val="00000000"/>
    <w:rsid w:val="401F49DA"/>
    <w:rsid w:val="57580C6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autoRedefine/>
    <w:qFormat/>
    <w:uiPriority w:val="0"/>
    <w:pPr>
      <w:spacing w:after="120"/>
    </w:pPr>
  </w:style>
  <w:style w:type="paragraph" w:styleId="4">
    <w:name w:val="Body Text Indent"/>
    <w:basedOn w:val="1"/>
    <w:autoRedefine/>
    <w:qFormat/>
    <w:uiPriority w:val="0"/>
    <w:pPr>
      <w:spacing w:after="120"/>
      <w:ind w:left="420" w:leftChars="200"/>
    </w:pPr>
    <w:rPr>
      <w:rFonts w:ascii="Calibri" w:hAnsi="Calibri"/>
    </w:rPr>
  </w:style>
  <w:style w:type="paragraph" w:styleId="5">
    <w:name w:val="Balloon Text"/>
    <w:basedOn w:val="1"/>
    <w:link w:val="20"/>
    <w:autoRedefine/>
    <w:qFormat/>
    <w:uiPriority w:val="0"/>
    <w:rPr>
      <w:sz w:val="18"/>
      <w:szCs w:val="18"/>
    </w:rPr>
  </w:style>
  <w:style w:type="paragraph" w:styleId="6">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9">
    <w:name w:val="Body Text First Indent"/>
    <w:basedOn w:val="3"/>
    <w:autoRedefine/>
    <w:qFormat/>
    <w:uiPriority w:val="0"/>
    <w:pPr>
      <w:spacing w:after="0"/>
      <w:ind w:firstLine="200" w:firstLineChars="200"/>
    </w:pPr>
  </w:style>
  <w:style w:type="paragraph" w:styleId="10">
    <w:name w:val="Body Text First Indent 2"/>
    <w:basedOn w:val="4"/>
    <w:autoRedefine/>
    <w:qFormat/>
    <w:uiPriority w:val="0"/>
    <w:pPr>
      <w:ind w:firstLine="420" w:firstLineChars="200"/>
    </w:pPr>
  </w:style>
  <w:style w:type="table" w:styleId="12">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Strong"/>
    <w:basedOn w:val="13"/>
    <w:autoRedefine/>
    <w:qFormat/>
    <w:uiPriority w:val="0"/>
    <w:rPr>
      <w:b/>
      <w:bCs/>
    </w:rPr>
  </w:style>
  <w:style w:type="paragraph" w:customStyle="1" w:styleId="15">
    <w:name w:val="Comment Text"/>
    <w:basedOn w:val="1"/>
    <w:link w:val="22"/>
    <w:autoRedefine/>
    <w:qFormat/>
    <w:uiPriority w:val="0"/>
    <w:pPr>
      <w:jc w:val="left"/>
    </w:pPr>
  </w:style>
  <w:style w:type="paragraph" w:customStyle="1" w:styleId="16">
    <w:name w:val="Comment Subject"/>
    <w:basedOn w:val="15"/>
    <w:next w:val="15"/>
    <w:link w:val="23"/>
    <w:autoRedefine/>
    <w:qFormat/>
    <w:uiPriority w:val="0"/>
    <w:rPr>
      <w:b/>
      <w:bCs/>
    </w:rPr>
  </w:style>
  <w:style w:type="character" w:customStyle="1" w:styleId="17">
    <w:name w:val="Comment Reference"/>
    <w:basedOn w:val="13"/>
    <w:autoRedefine/>
    <w:qFormat/>
    <w:uiPriority w:val="0"/>
    <w:rPr>
      <w:sz w:val="21"/>
      <w:szCs w:val="21"/>
    </w:rPr>
  </w:style>
  <w:style w:type="character" w:customStyle="1" w:styleId="18">
    <w:name w:val="fontstyle01"/>
    <w:autoRedefine/>
    <w:qFormat/>
    <w:uiPriority w:val="0"/>
    <w:rPr>
      <w:rFonts w:ascii="仿宋_GB2312" w:hAnsi="仿宋_GB2312" w:eastAsia="仿宋_GB2312" w:cs="仿宋_GB2312"/>
      <w:color w:val="000000"/>
      <w:sz w:val="32"/>
      <w:szCs w:val="32"/>
    </w:rPr>
  </w:style>
  <w:style w:type="paragraph" w:customStyle="1" w:styleId="19">
    <w:name w:val="闻政-正文段落文字"/>
    <w:basedOn w:val="1"/>
    <w:autoRedefine/>
    <w:qFormat/>
    <w:uiPriority w:val="3"/>
    <w:pPr>
      <w:spacing w:line="500" w:lineRule="exact"/>
      <w:ind w:firstLine="200"/>
    </w:pPr>
    <w:rPr>
      <w:kern w:val="0"/>
      <w:szCs w:val="28"/>
    </w:rPr>
  </w:style>
  <w:style w:type="character" w:customStyle="1" w:styleId="20">
    <w:name w:val="批注框文本 字符"/>
    <w:basedOn w:val="13"/>
    <w:link w:val="5"/>
    <w:autoRedefine/>
    <w:qFormat/>
    <w:uiPriority w:val="0"/>
    <w:rPr>
      <w:rFonts w:ascii="Times New Roman" w:hAnsi="Times New Roman" w:eastAsia="宋体" w:cs="Times New Roman"/>
      <w:kern w:val="2"/>
      <w:sz w:val="18"/>
      <w:szCs w:val="18"/>
    </w:rPr>
  </w:style>
  <w:style w:type="character" w:customStyle="1" w:styleId="21">
    <w:name w:val="页眉 字符"/>
    <w:basedOn w:val="13"/>
    <w:link w:val="7"/>
    <w:autoRedefine/>
    <w:qFormat/>
    <w:uiPriority w:val="0"/>
    <w:rPr>
      <w:rFonts w:ascii="Times New Roman" w:hAnsi="Times New Roman" w:eastAsia="宋体" w:cs="Times New Roman"/>
      <w:kern w:val="2"/>
      <w:sz w:val="18"/>
      <w:szCs w:val="18"/>
    </w:rPr>
  </w:style>
  <w:style w:type="character" w:customStyle="1" w:styleId="22">
    <w:name w:val="批注文字 字符"/>
    <w:basedOn w:val="13"/>
    <w:link w:val="15"/>
    <w:autoRedefine/>
    <w:qFormat/>
    <w:uiPriority w:val="0"/>
    <w:rPr>
      <w:rFonts w:ascii="Times New Roman" w:hAnsi="Times New Roman" w:eastAsia="宋体" w:cs="Times New Roman"/>
      <w:kern w:val="2"/>
      <w:sz w:val="21"/>
      <w:szCs w:val="24"/>
    </w:rPr>
  </w:style>
  <w:style w:type="character" w:customStyle="1" w:styleId="23">
    <w:name w:val="批注主题 字符"/>
    <w:basedOn w:val="22"/>
    <w:link w:val="16"/>
    <w:autoRedefine/>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BACE2C47F7FD4293AA6CE60A6854ED92_13</vt:lpwstr>
  </property>
  <property fmtid="{D5CDD505-2E9C-101B-9397-08002B2CF9AE}" pid="4" name="KSOTemplateDocerSaveRecord">
    <vt:lpwstr>eyJoZGlkIjoiNGIxMDNhNWYwYTU0N2Y1MGU2N2ExYjRlZDc4OWEzY2MiLCJ1c2VySWQiOiIyMTk4OTg3NDQifQ==</vt:lpwstr>
  </property>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a932f-a364-44ec-928b-1c759cad9217}">
  <ds:schemaRefs/>
</ds:datastoreItem>
</file>

<file path=customXml/itemProps2.xml><?xml version="1.0" encoding="utf-8"?>
<ds:datastoreItem xmlns:ds="http://schemas.openxmlformats.org/officeDocument/2006/customXml" ds:itemID="{EEA5C986-6CAE-461A-935E-905AB5D0E2F3}">
  <ds:schemaRefs/>
</ds:datastoreItem>
</file>

<file path=docProps/app.xml><?xml version="1.0" encoding="utf-8"?>
<Properties xmlns="http://schemas.openxmlformats.org/officeDocument/2006/extended-properties" xmlns:vt="http://schemas.openxmlformats.org/officeDocument/2006/docPropsVTypes">
  <Template>Normal</Template>
  <Pages>22</Pages>
  <Words>1783</Words>
  <Characters>1857</Characters>
  <Lines>66</Lines>
  <Paragraphs>18</Paragraphs>
  <TotalTime>2</TotalTime>
  <ScaleCrop>false</ScaleCrop>
  <LinksUpToDate>false</LinksUpToDate>
  <CharactersWithSpaces>1858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cp:lastPrinted>2025-05-12T09:52:00Z</cp:lastPrinted>
  <dcterms:modified xsi:type="dcterms:W3CDTF">2025-11-05T09:23:12Z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BACE2C47F7FD4293AA6CE60A6854ED92_13</vt:lpwstr>
  </property>
  <property fmtid="{D5CDD505-2E9C-101B-9397-08002B2CF9AE}" pid="4" name="KSOTemplateDocerSaveRecord">
    <vt:lpwstr>eyJoZGlkIjoiMGIxZTI3ODM4ZmVjOGE5NDFiYmE3OTRiMjQ5OTEyNzIiLCJ1c2VySWQiOiIyNTk4NTcxMjUifQ==</vt:lpwstr>
  </property>
</Properties>
</file>